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97" w:rsidRDefault="00DD7C4B" w:rsidP="006D4397">
      <w:pPr>
        <w:widowControl/>
        <w:shd w:val="clear" w:color="auto" w:fill="FFFFFF"/>
        <w:spacing w:line="360" w:lineRule="auto"/>
        <w:jc w:val="center"/>
        <w:outlineLvl w:val="4"/>
        <w:rPr>
          <w:rFonts w:ascii="微软雅黑" w:eastAsia="微软雅黑" w:hAnsi="微软雅黑" w:cs="宋体"/>
          <w:b/>
          <w:bCs/>
          <w:color w:val="333399"/>
          <w:kern w:val="0"/>
          <w:sz w:val="32"/>
          <w:szCs w:val="32"/>
        </w:rPr>
      </w:pPr>
      <w:r w:rsidRPr="006D4397">
        <w:rPr>
          <w:rFonts w:ascii="微软雅黑" w:eastAsia="微软雅黑" w:hAnsi="微软雅黑" w:cs="宋体" w:hint="eastAsia"/>
          <w:b/>
          <w:bCs/>
          <w:color w:val="333399"/>
          <w:kern w:val="0"/>
          <w:sz w:val="32"/>
          <w:szCs w:val="32"/>
        </w:rPr>
        <w:t>四川大学华西医院</w:t>
      </w:r>
      <w:r w:rsidR="00D37262" w:rsidRPr="006D4397">
        <w:rPr>
          <w:rFonts w:ascii="微软雅黑" w:eastAsia="微软雅黑" w:hAnsi="微软雅黑" w:cs="宋体" w:hint="eastAsia"/>
          <w:b/>
          <w:bCs/>
          <w:color w:val="333399"/>
          <w:kern w:val="0"/>
          <w:sz w:val="32"/>
          <w:szCs w:val="32"/>
        </w:rPr>
        <w:t>神经内</w:t>
      </w:r>
      <w:r w:rsidRPr="006D4397">
        <w:rPr>
          <w:rFonts w:ascii="微软雅黑" w:eastAsia="微软雅黑" w:hAnsi="微软雅黑" w:cs="宋体" w:hint="eastAsia"/>
          <w:b/>
          <w:bCs/>
          <w:color w:val="333399"/>
          <w:kern w:val="0"/>
          <w:sz w:val="32"/>
          <w:szCs w:val="32"/>
        </w:rPr>
        <w:t>科进修</w:t>
      </w:r>
      <w:r w:rsidR="00E621C7" w:rsidRPr="006D4397">
        <w:rPr>
          <w:rFonts w:ascii="微软雅黑" w:eastAsia="微软雅黑" w:hAnsi="微软雅黑" w:cs="宋体" w:hint="eastAsia"/>
          <w:b/>
          <w:bCs/>
          <w:color w:val="333399"/>
          <w:kern w:val="0"/>
          <w:sz w:val="32"/>
          <w:szCs w:val="32"/>
        </w:rPr>
        <w:t>招生简章</w:t>
      </w:r>
    </w:p>
    <w:p w:rsidR="006D4397" w:rsidRDefault="00DD7C4B" w:rsidP="006D4397">
      <w:pPr>
        <w:pStyle w:val="a7"/>
        <w:widowControl/>
        <w:numPr>
          <w:ilvl w:val="0"/>
          <w:numId w:val="6"/>
        </w:numPr>
        <w:shd w:val="clear" w:color="auto" w:fill="FFFFFF"/>
        <w:spacing w:line="360" w:lineRule="auto"/>
        <w:ind w:firstLineChars="0"/>
        <w:outlineLvl w:val="4"/>
        <w:rPr>
          <w:rFonts w:asciiTheme="minorEastAsia" w:hAnsiTheme="minorEastAsia"/>
          <w:b/>
          <w:szCs w:val="21"/>
          <w:bdr w:val="none" w:sz="0" w:space="0" w:color="auto" w:frame="1"/>
        </w:rPr>
      </w:pPr>
      <w:r w:rsidRPr="006D4397">
        <w:rPr>
          <w:rFonts w:asciiTheme="minorEastAsia" w:hAnsiTheme="minorEastAsia" w:hint="eastAsia"/>
          <w:b/>
          <w:szCs w:val="21"/>
          <w:bdr w:val="none" w:sz="0" w:space="0" w:color="auto" w:frame="1"/>
        </w:rPr>
        <w:t>科室简介</w:t>
      </w:r>
    </w:p>
    <w:p w:rsidR="00D37262" w:rsidRPr="006D4397" w:rsidRDefault="00C04D19" w:rsidP="006D4397">
      <w:pPr>
        <w:pStyle w:val="a7"/>
        <w:widowControl/>
        <w:numPr>
          <w:ilvl w:val="0"/>
          <w:numId w:val="7"/>
        </w:numPr>
        <w:shd w:val="clear" w:color="auto" w:fill="FFFFFF"/>
        <w:spacing w:line="360" w:lineRule="auto"/>
        <w:ind w:firstLineChars="0"/>
        <w:outlineLvl w:val="4"/>
        <w:rPr>
          <w:rFonts w:asciiTheme="minorEastAsia" w:hAnsiTheme="minorEastAsia"/>
          <w:b/>
          <w:szCs w:val="21"/>
          <w:bdr w:val="none" w:sz="0" w:space="0" w:color="auto" w:frame="1"/>
        </w:rPr>
      </w:pPr>
      <w:r w:rsidRPr="006D4397">
        <w:rPr>
          <w:rFonts w:asciiTheme="minorEastAsia" w:hAnsiTheme="minorEastAsia" w:hint="eastAsia"/>
          <w:b/>
          <w:szCs w:val="21"/>
          <w:bdr w:val="none" w:sz="0" w:space="0" w:color="auto" w:frame="1"/>
        </w:rPr>
        <w:t xml:space="preserve"> </w:t>
      </w:r>
      <w:r w:rsidR="006D4397">
        <w:rPr>
          <w:rFonts w:asciiTheme="minorEastAsia" w:hAnsiTheme="minorEastAsia" w:hint="eastAsia"/>
          <w:b/>
          <w:szCs w:val="21"/>
          <w:bdr w:val="none" w:sz="0" w:space="0" w:color="auto" w:frame="1"/>
        </w:rPr>
        <w:t>整体情况</w:t>
      </w:r>
    </w:p>
    <w:p w:rsidR="00D37262" w:rsidRPr="006D4397" w:rsidRDefault="00D37262" w:rsidP="006D4397">
      <w:pPr>
        <w:spacing w:line="360" w:lineRule="auto"/>
        <w:ind w:firstLineChars="200" w:firstLine="420"/>
        <w:rPr>
          <w:rFonts w:asciiTheme="minorEastAsia" w:hAnsiTheme="minorEastAsia"/>
          <w:kern w:val="0"/>
          <w:szCs w:val="21"/>
        </w:rPr>
      </w:pPr>
      <w:r w:rsidRPr="006D4397">
        <w:rPr>
          <w:rFonts w:asciiTheme="minorEastAsia" w:hAnsiTheme="minorEastAsia" w:hint="eastAsia"/>
          <w:kern w:val="0"/>
          <w:szCs w:val="21"/>
        </w:rPr>
        <w:t>我科拥有源远流长的历史，</w:t>
      </w:r>
      <w:r w:rsidRPr="006D4397">
        <w:rPr>
          <w:rFonts w:asciiTheme="minorEastAsia" w:hAnsiTheme="minorEastAsia" w:cs="微软雅黑" w:hint="eastAsia"/>
          <w:color w:val="262626"/>
          <w:kern w:val="0"/>
          <w:szCs w:val="21"/>
        </w:rPr>
        <w:t>自1914年华西协和大学设立医科开始，即开始了神经与精神病学的教学,</w:t>
      </w:r>
      <w:r w:rsidRPr="006D4397">
        <w:rPr>
          <w:rFonts w:asciiTheme="minorEastAsia" w:hAnsiTheme="minorEastAsia" w:hint="eastAsia"/>
          <w:kern w:val="0"/>
          <w:szCs w:val="21"/>
        </w:rPr>
        <w:t>在几代学术带头人的领导下，艰苦奋斗、发奋图强，发展成为全国最大的神经内科之一，培养了大批神经病学人材。1981年被授予硕士学位授位点，2003年被授予博士学位授位点，2004年获省级重点学科，形成了脑血管疾病、癫痫、神经系统遗传与变性疾病、周围神经与肌肉疾病、神经免疫性疾病、神经系统感染性疾病等多个稳定的亚专业方向。</w:t>
      </w:r>
    </w:p>
    <w:p w:rsidR="006D4397" w:rsidRDefault="00D37262" w:rsidP="006D4397">
      <w:pPr>
        <w:spacing w:line="360" w:lineRule="auto"/>
        <w:ind w:firstLineChars="200" w:firstLine="420"/>
        <w:rPr>
          <w:rFonts w:asciiTheme="minorEastAsia" w:hAnsiTheme="minorEastAsia"/>
          <w:color w:val="000000"/>
          <w:kern w:val="0"/>
          <w:szCs w:val="21"/>
        </w:rPr>
      </w:pPr>
      <w:r w:rsidRPr="006D4397">
        <w:rPr>
          <w:rFonts w:asciiTheme="minorEastAsia" w:hAnsiTheme="minorEastAsia" w:hint="eastAsia"/>
          <w:color w:val="000000"/>
          <w:kern w:val="0"/>
          <w:szCs w:val="21"/>
        </w:rPr>
        <w:t>近年来，神经内科门诊开展分层管理创新模式，</w:t>
      </w:r>
      <w:r w:rsidRPr="006D4397">
        <w:rPr>
          <w:rFonts w:asciiTheme="minorEastAsia" w:hAnsiTheme="minorEastAsia"/>
          <w:color w:val="000000"/>
          <w:kern w:val="0"/>
          <w:szCs w:val="21"/>
        </w:rPr>
        <w:t>2013</w:t>
      </w:r>
      <w:r w:rsidRPr="006D4397">
        <w:rPr>
          <w:rFonts w:asciiTheme="minorEastAsia" w:hAnsiTheme="minorEastAsia" w:hint="eastAsia"/>
          <w:color w:val="000000"/>
          <w:kern w:val="0"/>
          <w:szCs w:val="21"/>
        </w:rPr>
        <w:t>年门诊达到</w:t>
      </w:r>
      <w:r w:rsidRPr="006D4397">
        <w:rPr>
          <w:rFonts w:asciiTheme="minorEastAsia" w:hAnsiTheme="minorEastAsia"/>
          <w:color w:val="000000"/>
          <w:kern w:val="0"/>
          <w:szCs w:val="21"/>
        </w:rPr>
        <w:t>26.54</w:t>
      </w:r>
      <w:r w:rsidRPr="006D4397">
        <w:rPr>
          <w:rFonts w:asciiTheme="minorEastAsia" w:hAnsiTheme="minorEastAsia" w:hint="eastAsia"/>
          <w:color w:val="000000"/>
          <w:kern w:val="0"/>
          <w:szCs w:val="21"/>
        </w:rPr>
        <w:t>万人次，受到卫生部首肯。神经内科病房开放床位</w:t>
      </w:r>
      <w:r w:rsidRPr="006D4397">
        <w:rPr>
          <w:rFonts w:asciiTheme="minorEastAsia" w:hAnsiTheme="minorEastAsia"/>
          <w:color w:val="000000"/>
          <w:kern w:val="0"/>
          <w:szCs w:val="21"/>
        </w:rPr>
        <w:t>220</w:t>
      </w:r>
      <w:r w:rsidRPr="006D4397">
        <w:rPr>
          <w:rFonts w:asciiTheme="minorEastAsia" w:hAnsiTheme="minorEastAsia" w:hint="eastAsia"/>
          <w:color w:val="000000"/>
          <w:kern w:val="0"/>
          <w:szCs w:val="21"/>
        </w:rPr>
        <w:t>张，通过细分亚专业，依托整体护理模式管理，</w:t>
      </w:r>
      <w:r w:rsidRPr="006D4397">
        <w:rPr>
          <w:rFonts w:asciiTheme="minorEastAsia" w:hAnsiTheme="minorEastAsia"/>
          <w:color w:val="000000"/>
          <w:kern w:val="0"/>
          <w:szCs w:val="21"/>
        </w:rPr>
        <w:t xml:space="preserve"> 2013</w:t>
      </w:r>
      <w:r w:rsidRPr="006D4397">
        <w:rPr>
          <w:rFonts w:asciiTheme="minorEastAsia" w:hAnsiTheme="minorEastAsia" w:hint="eastAsia"/>
          <w:color w:val="000000"/>
          <w:kern w:val="0"/>
          <w:szCs w:val="21"/>
        </w:rPr>
        <w:t>年达到</w:t>
      </w:r>
      <w:r w:rsidRPr="006D4397">
        <w:rPr>
          <w:rFonts w:asciiTheme="minorEastAsia" w:hAnsiTheme="minorEastAsia"/>
          <w:color w:val="000000"/>
          <w:kern w:val="0"/>
          <w:szCs w:val="21"/>
        </w:rPr>
        <w:t>9,392</w:t>
      </w:r>
      <w:r w:rsidRPr="006D4397">
        <w:rPr>
          <w:rFonts w:asciiTheme="minorEastAsia" w:hAnsiTheme="minorEastAsia" w:hint="eastAsia"/>
          <w:color w:val="000000"/>
          <w:kern w:val="0"/>
          <w:szCs w:val="21"/>
        </w:rPr>
        <w:t>人次，一定程度上缓解了广大病人看病难、看病贵的问题，创造了巨大的社会效益。</w:t>
      </w:r>
    </w:p>
    <w:p w:rsidR="00D37262" w:rsidRPr="006D4397" w:rsidRDefault="006D4397" w:rsidP="006D4397">
      <w:pPr>
        <w:spacing w:line="360" w:lineRule="auto"/>
        <w:rPr>
          <w:rFonts w:asciiTheme="minorEastAsia" w:hAnsiTheme="minorEastAsia"/>
          <w:b/>
          <w:color w:val="000000"/>
          <w:kern w:val="0"/>
          <w:szCs w:val="21"/>
        </w:rPr>
      </w:pPr>
      <w:r w:rsidRPr="006D4397">
        <w:rPr>
          <w:rFonts w:asciiTheme="minorEastAsia" w:hAnsiTheme="minorEastAsia" w:hint="eastAsia"/>
          <w:b/>
          <w:color w:val="000000"/>
          <w:kern w:val="0"/>
          <w:szCs w:val="21"/>
        </w:rPr>
        <w:t>2、</w:t>
      </w:r>
      <w:r w:rsidR="00D37262" w:rsidRPr="006D4397">
        <w:rPr>
          <w:rFonts w:asciiTheme="minorEastAsia" w:hAnsiTheme="minorEastAsia" w:hint="eastAsia"/>
          <w:b/>
          <w:szCs w:val="21"/>
        </w:rPr>
        <w:t>师资情况</w:t>
      </w:r>
    </w:p>
    <w:p w:rsidR="006D4397" w:rsidRDefault="00D37262" w:rsidP="006D4397">
      <w:pPr>
        <w:spacing w:line="360" w:lineRule="auto"/>
        <w:ind w:firstLineChars="200" w:firstLine="420"/>
        <w:rPr>
          <w:rFonts w:asciiTheme="minorEastAsia" w:hAnsiTheme="minorEastAsia"/>
          <w:szCs w:val="21"/>
        </w:rPr>
      </w:pPr>
      <w:r w:rsidRPr="006D4397">
        <w:rPr>
          <w:rFonts w:asciiTheme="minorEastAsia" w:hAnsiTheme="minorEastAsia" w:hint="eastAsia"/>
          <w:color w:val="000000"/>
          <w:kern w:val="0"/>
          <w:szCs w:val="21"/>
        </w:rPr>
        <w:t>神经内科现有医师</w:t>
      </w:r>
      <w:r w:rsidRPr="006D4397">
        <w:rPr>
          <w:rFonts w:asciiTheme="minorEastAsia" w:hAnsiTheme="minorEastAsia"/>
          <w:color w:val="000000"/>
          <w:kern w:val="0"/>
          <w:szCs w:val="21"/>
        </w:rPr>
        <w:t>45</w:t>
      </w:r>
      <w:r w:rsidRPr="006D4397">
        <w:rPr>
          <w:rFonts w:asciiTheme="minorEastAsia" w:hAnsiTheme="minorEastAsia" w:hint="eastAsia"/>
          <w:color w:val="000000"/>
          <w:kern w:val="0"/>
          <w:szCs w:val="21"/>
        </w:rPr>
        <w:t>人，其中教授9人，副教授11人，博士导师9人，硕士导师12人，讲师</w:t>
      </w:r>
      <w:r w:rsidRPr="006D4397">
        <w:rPr>
          <w:rFonts w:asciiTheme="minorEastAsia" w:hAnsiTheme="minorEastAsia"/>
          <w:color w:val="000000"/>
          <w:kern w:val="0"/>
          <w:szCs w:val="21"/>
        </w:rPr>
        <w:t>25</w:t>
      </w:r>
      <w:r w:rsidRPr="006D4397">
        <w:rPr>
          <w:rFonts w:asciiTheme="minorEastAsia" w:hAnsiTheme="minorEastAsia" w:hint="eastAsia"/>
          <w:color w:val="000000"/>
          <w:kern w:val="0"/>
          <w:szCs w:val="21"/>
        </w:rPr>
        <w:t>人。护士</w:t>
      </w:r>
      <w:r w:rsidRPr="006D4397">
        <w:rPr>
          <w:rFonts w:asciiTheme="minorEastAsia" w:hAnsiTheme="minorEastAsia"/>
          <w:color w:val="000000"/>
          <w:kern w:val="0"/>
          <w:szCs w:val="21"/>
        </w:rPr>
        <w:t>48</w:t>
      </w:r>
      <w:r w:rsidRPr="006D4397">
        <w:rPr>
          <w:rFonts w:asciiTheme="minorEastAsia" w:hAnsiTheme="minorEastAsia" w:hint="eastAsia"/>
          <w:color w:val="000000"/>
          <w:kern w:val="0"/>
          <w:szCs w:val="21"/>
        </w:rPr>
        <w:t>人，其中副主任护师</w:t>
      </w:r>
      <w:r w:rsidRPr="006D4397">
        <w:rPr>
          <w:rFonts w:asciiTheme="minorEastAsia" w:hAnsiTheme="minorEastAsia"/>
          <w:color w:val="000000"/>
          <w:kern w:val="0"/>
          <w:szCs w:val="21"/>
        </w:rPr>
        <w:t>2</w:t>
      </w:r>
      <w:r w:rsidRPr="006D4397">
        <w:rPr>
          <w:rFonts w:asciiTheme="minorEastAsia" w:hAnsiTheme="minorEastAsia" w:hint="eastAsia"/>
          <w:color w:val="000000"/>
          <w:kern w:val="0"/>
          <w:szCs w:val="21"/>
        </w:rPr>
        <w:t>人，主管护师</w:t>
      </w:r>
      <w:r w:rsidRPr="006D4397">
        <w:rPr>
          <w:rFonts w:asciiTheme="minorEastAsia" w:hAnsiTheme="minorEastAsia"/>
          <w:color w:val="000000"/>
          <w:kern w:val="0"/>
          <w:szCs w:val="21"/>
        </w:rPr>
        <w:t>4</w:t>
      </w:r>
      <w:r w:rsidRPr="006D4397">
        <w:rPr>
          <w:rFonts w:asciiTheme="minorEastAsia" w:hAnsiTheme="minorEastAsia" w:hint="eastAsia"/>
          <w:color w:val="000000"/>
          <w:kern w:val="0"/>
          <w:szCs w:val="21"/>
        </w:rPr>
        <w:t>人，讲师</w:t>
      </w:r>
      <w:r w:rsidRPr="006D4397">
        <w:rPr>
          <w:rFonts w:asciiTheme="minorEastAsia" w:hAnsiTheme="minorEastAsia"/>
          <w:color w:val="000000"/>
          <w:kern w:val="0"/>
          <w:szCs w:val="21"/>
        </w:rPr>
        <w:t>1</w:t>
      </w:r>
      <w:r w:rsidRPr="006D4397">
        <w:rPr>
          <w:rFonts w:asciiTheme="minorEastAsia" w:hAnsiTheme="minorEastAsia" w:hint="eastAsia"/>
          <w:color w:val="000000"/>
          <w:kern w:val="0"/>
          <w:szCs w:val="21"/>
        </w:rPr>
        <w:t>人，护师</w:t>
      </w:r>
      <w:r w:rsidRPr="006D4397">
        <w:rPr>
          <w:rFonts w:asciiTheme="minorEastAsia" w:hAnsiTheme="minorEastAsia"/>
          <w:color w:val="000000"/>
          <w:kern w:val="0"/>
          <w:szCs w:val="21"/>
        </w:rPr>
        <w:t>9</w:t>
      </w:r>
      <w:r w:rsidRPr="006D4397">
        <w:rPr>
          <w:rFonts w:asciiTheme="minorEastAsia" w:hAnsiTheme="minorEastAsia" w:hint="eastAsia"/>
          <w:color w:val="000000"/>
          <w:kern w:val="0"/>
          <w:szCs w:val="21"/>
        </w:rPr>
        <w:t>人。师资力量雄厚，梯队合理，理论授课教师均具有硕士以上学位，其中博士占80%。教研室积极有效措施加强中青年教师培养，</w:t>
      </w:r>
      <w:r w:rsidRPr="006D4397">
        <w:rPr>
          <w:rFonts w:asciiTheme="minorEastAsia" w:hAnsiTheme="minorEastAsia" w:hint="eastAsia"/>
          <w:szCs w:val="21"/>
        </w:rPr>
        <w:t>由热心教育、水平高、经验丰富的中、老年教师组成专家组，具体指导培养和考核，开展各种教学活动。坚持举办病案讨论、晨读、专题讲座等学术活动。坚持集体备课制度。每年拔专款用于教师进修学习，并选派优秀教师赴国外学习。改善教学条件。</w:t>
      </w:r>
    </w:p>
    <w:p w:rsidR="00D37262" w:rsidRPr="006D4397" w:rsidRDefault="006D4397" w:rsidP="006D4397">
      <w:pPr>
        <w:spacing w:line="360" w:lineRule="auto"/>
        <w:rPr>
          <w:rFonts w:asciiTheme="minorEastAsia" w:hAnsiTheme="minorEastAsia"/>
          <w:b/>
          <w:szCs w:val="21"/>
        </w:rPr>
      </w:pPr>
      <w:r w:rsidRPr="006D4397">
        <w:rPr>
          <w:rFonts w:asciiTheme="minorEastAsia" w:hAnsiTheme="minorEastAsia" w:hint="eastAsia"/>
          <w:b/>
          <w:szCs w:val="21"/>
        </w:rPr>
        <w:t>3、</w:t>
      </w:r>
      <w:r w:rsidR="00AF2CE2" w:rsidRPr="006D4397">
        <w:rPr>
          <w:rFonts w:asciiTheme="minorEastAsia" w:hAnsiTheme="minorEastAsia" w:hint="eastAsia"/>
          <w:b/>
          <w:szCs w:val="21"/>
        </w:rPr>
        <w:t>学科</w:t>
      </w:r>
      <w:r w:rsidR="00D37262" w:rsidRPr="006D4397">
        <w:rPr>
          <w:rFonts w:asciiTheme="minorEastAsia" w:hAnsiTheme="minorEastAsia" w:hint="eastAsia"/>
          <w:b/>
          <w:szCs w:val="21"/>
        </w:rPr>
        <w:t>特色</w:t>
      </w:r>
    </w:p>
    <w:p w:rsidR="00D37262" w:rsidRPr="006D4397" w:rsidRDefault="00D37262" w:rsidP="006D4397">
      <w:pPr>
        <w:spacing w:line="360" w:lineRule="auto"/>
        <w:ind w:firstLineChars="200" w:firstLine="420"/>
        <w:rPr>
          <w:rFonts w:asciiTheme="minorEastAsia" w:hAnsiTheme="minorEastAsia"/>
          <w:kern w:val="0"/>
          <w:szCs w:val="21"/>
        </w:rPr>
      </w:pPr>
      <w:r w:rsidRPr="006D4397">
        <w:rPr>
          <w:rFonts w:asciiTheme="minorEastAsia" w:hAnsiTheme="minorEastAsia" w:hint="eastAsia"/>
          <w:color w:val="000000"/>
          <w:szCs w:val="21"/>
        </w:rPr>
        <w:t>近5年，已培养研究生100余名，以研究生为主要研究人员获国家自然科学基金25项，国家863计划项目子课题1项；获教育部自然科学进步奖一等奖2项。研究生以第一作者身份在SCI期刊上发表论文200余篇。研究生参加国际学术会议50余人次。2008年至今有8名研究生被纳入“国家建设高水平大学公派研究生项目”联合培养博士研究生计划，分赴美国哈佛大学、德国爱郎根大学、加拿大哥伦比亚大学留学</w:t>
      </w:r>
      <w:r w:rsidRPr="006D4397">
        <w:rPr>
          <w:rFonts w:asciiTheme="minorEastAsia" w:hAnsiTheme="minorEastAsia" w:hint="eastAsia"/>
          <w:color w:val="000000"/>
          <w:kern w:val="0"/>
          <w:szCs w:val="21"/>
        </w:rPr>
        <w:t>。</w:t>
      </w:r>
    </w:p>
    <w:p w:rsidR="006D4397" w:rsidRDefault="00D37262" w:rsidP="006D4397">
      <w:pPr>
        <w:widowControl/>
        <w:spacing w:line="360" w:lineRule="auto"/>
        <w:ind w:firstLineChars="200" w:firstLine="420"/>
        <w:jc w:val="left"/>
        <w:rPr>
          <w:rFonts w:asciiTheme="minorEastAsia" w:hAnsiTheme="minorEastAsia" w:cs="Arial"/>
          <w:szCs w:val="21"/>
        </w:rPr>
      </w:pPr>
      <w:r w:rsidRPr="006D4397">
        <w:rPr>
          <w:rFonts w:asciiTheme="minorEastAsia" w:hAnsiTheme="minorEastAsia" w:hint="eastAsia"/>
          <w:color w:val="000000"/>
          <w:szCs w:val="21"/>
        </w:rPr>
        <w:t>2003年，成立了住院医师培训基地，</w:t>
      </w:r>
      <w:r w:rsidRPr="006D4397">
        <w:rPr>
          <w:rFonts w:asciiTheme="minorEastAsia" w:hAnsiTheme="minorEastAsia" w:hint="eastAsia"/>
          <w:color w:val="000000"/>
          <w:kern w:val="0"/>
          <w:szCs w:val="21"/>
        </w:rPr>
        <w:t>顺利完成11届神经内科住院医师的招收，已有十余名住院医师顺利完成培训任务毕业，目前尚有43名住院医师正在接受培训。教研室同时</w:t>
      </w:r>
      <w:r w:rsidRPr="006D4397">
        <w:rPr>
          <w:rFonts w:asciiTheme="minorEastAsia" w:hAnsiTheme="minorEastAsia" w:hint="eastAsia"/>
          <w:color w:val="000000"/>
          <w:kern w:val="0"/>
          <w:szCs w:val="21"/>
        </w:rPr>
        <w:lastRenderedPageBreak/>
        <w:t>接收了院外医院规培的住院医师14名、其它科室轮转培训的住院医师400余名，培养一批具备良好的医、教、研能力的年轻专科医师。</w:t>
      </w:r>
      <w:r w:rsidRPr="006D4397">
        <w:rPr>
          <w:rFonts w:asciiTheme="minorEastAsia" w:hAnsiTheme="minorEastAsia" w:cs="Arial" w:hint="eastAsia"/>
          <w:szCs w:val="21"/>
        </w:rPr>
        <w:t>从1980年至今，科室每年招收</w:t>
      </w:r>
      <w:r w:rsidRPr="006D4397">
        <w:rPr>
          <w:rFonts w:asciiTheme="minorEastAsia" w:hAnsiTheme="minorEastAsia" w:cs="Arial" w:hint="eastAsia"/>
          <w:color w:val="000000"/>
          <w:szCs w:val="21"/>
        </w:rPr>
        <w:t>来自全国各地的神经科专科进修医师40-50余名，近</w:t>
      </w:r>
      <w:r w:rsidRPr="006D4397">
        <w:rPr>
          <w:rFonts w:asciiTheme="minorEastAsia" w:hAnsiTheme="minorEastAsia" w:cs="Arial" w:hint="eastAsia"/>
          <w:szCs w:val="21"/>
        </w:rPr>
        <w:t>10年间已培养500余名进修医生，大多数毕业的进修生均成为了当地医院或科室的高级管理人员和技术骨干。</w:t>
      </w:r>
    </w:p>
    <w:p w:rsidR="00D37262" w:rsidRPr="006D4397" w:rsidRDefault="006D4397" w:rsidP="006D4397">
      <w:pPr>
        <w:widowControl/>
        <w:spacing w:line="360" w:lineRule="auto"/>
        <w:jc w:val="left"/>
        <w:rPr>
          <w:rFonts w:asciiTheme="minorEastAsia" w:hAnsiTheme="minorEastAsia"/>
          <w:b/>
          <w:szCs w:val="21"/>
        </w:rPr>
      </w:pPr>
      <w:r w:rsidRPr="006D4397">
        <w:rPr>
          <w:rFonts w:asciiTheme="minorEastAsia" w:hAnsiTheme="minorEastAsia" w:cs="Arial" w:hint="eastAsia"/>
          <w:b/>
          <w:szCs w:val="21"/>
        </w:rPr>
        <w:t>4、</w:t>
      </w:r>
      <w:r w:rsidR="00AF2CE2" w:rsidRPr="006D4397">
        <w:rPr>
          <w:rFonts w:asciiTheme="minorEastAsia" w:hAnsiTheme="minorEastAsia" w:hint="eastAsia"/>
          <w:b/>
          <w:szCs w:val="21"/>
        </w:rPr>
        <w:t>学科</w:t>
      </w:r>
      <w:r w:rsidR="00D37262" w:rsidRPr="006D4397">
        <w:rPr>
          <w:rFonts w:asciiTheme="minorEastAsia" w:hAnsiTheme="minorEastAsia" w:hint="eastAsia"/>
          <w:b/>
          <w:szCs w:val="21"/>
        </w:rPr>
        <w:t>科研</w:t>
      </w:r>
    </w:p>
    <w:p w:rsidR="006D4397" w:rsidRDefault="00D37262" w:rsidP="006D4397">
      <w:pPr>
        <w:widowControl/>
        <w:spacing w:line="360" w:lineRule="auto"/>
        <w:ind w:firstLineChars="200" w:firstLine="420"/>
        <w:jc w:val="left"/>
        <w:rPr>
          <w:rFonts w:asciiTheme="minorEastAsia" w:hAnsiTheme="minorEastAsia"/>
          <w:color w:val="000000"/>
          <w:kern w:val="0"/>
          <w:szCs w:val="21"/>
        </w:rPr>
      </w:pPr>
      <w:r w:rsidRPr="006D4397">
        <w:rPr>
          <w:rFonts w:asciiTheme="minorEastAsia" w:hAnsiTheme="minorEastAsia" w:hint="eastAsia"/>
          <w:color w:val="000000"/>
          <w:kern w:val="0"/>
          <w:szCs w:val="21"/>
        </w:rPr>
        <w:t>本学科在脑血管病、癫痫、神经遗传变性疾病及神经免疫疾病等领域研究成绩显著，达到国际或国内先进水平。近5年在国内外学术期刊发表论文共计492篇，包括在高影响因子SCI期刊《NEJM》、《JAMA》、《Lancet Neurology》、《Stroke》、《</w:t>
      </w:r>
      <w:r w:rsidRPr="006D4397">
        <w:rPr>
          <w:rFonts w:asciiTheme="minorEastAsia" w:hAnsiTheme="minorEastAsia"/>
          <w:color w:val="000000"/>
          <w:kern w:val="0"/>
          <w:szCs w:val="21"/>
        </w:rPr>
        <w:t>neurobiology of aging</w:t>
      </w:r>
      <w:r w:rsidRPr="006D4397">
        <w:rPr>
          <w:rFonts w:asciiTheme="minorEastAsia" w:hAnsiTheme="minorEastAsia" w:hint="eastAsia"/>
          <w:color w:val="000000"/>
          <w:kern w:val="0"/>
          <w:szCs w:val="21"/>
        </w:rPr>
        <w:t>》、《</w:t>
      </w:r>
      <w:r w:rsidRPr="006D4397">
        <w:rPr>
          <w:rFonts w:asciiTheme="minorEastAsia" w:hAnsiTheme="minorEastAsia"/>
          <w:color w:val="000000"/>
          <w:kern w:val="0"/>
          <w:szCs w:val="21"/>
        </w:rPr>
        <w:t>Neuroimage</w:t>
      </w:r>
      <w:r w:rsidRPr="006D4397">
        <w:rPr>
          <w:rFonts w:asciiTheme="minorEastAsia" w:hAnsiTheme="minorEastAsia" w:hint="eastAsia"/>
          <w:color w:val="000000"/>
          <w:kern w:val="0"/>
          <w:szCs w:val="21"/>
        </w:rPr>
        <w:t>》《</w:t>
      </w:r>
      <w:r w:rsidRPr="006D4397">
        <w:rPr>
          <w:rFonts w:asciiTheme="minorEastAsia" w:hAnsiTheme="minorEastAsia"/>
          <w:color w:val="000000"/>
          <w:kern w:val="0"/>
          <w:szCs w:val="21"/>
        </w:rPr>
        <w:t>J</w:t>
      </w:r>
      <w:r w:rsidRPr="006D4397">
        <w:rPr>
          <w:rFonts w:asciiTheme="minorEastAsia" w:hAnsiTheme="minorEastAsia" w:hint="eastAsia"/>
          <w:color w:val="000000"/>
          <w:kern w:val="0"/>
          <w:szCs w:val="21"/>
        </w:rPr>
        <w:t>NNP》、及权威期刊《Movement Disorder》、《Epilepsy》等SCI杂志发表论文二百余篇。国际会议发言报告论文50人次。2013年获准卫生部临床学科重点建设项目2项、国家自然科学基金11项，国家科技部攻关项目或支撑计划分题负责3项，子课题4项，863子课题2项、省厅级10项，国家药监局及横向课题52项。获教育部自然科学一等奖2项，中华医学会科技进步奖三等奖1项，国家发明专利6项。学术任职包括国际学术组织任职2人，国家级学术组织常委2人次，委员2人，学组组长1人，副组长2人；国际SCI期刊编委5人次，国家级学术期刊副主编3人次，编委40人次。</w:t>
      </w:r>
    </w:p>
    <w:p w:rsidR="00D37262" w:rsidRPr="006D4397" w:rsidRDefault="006D4397" w:rsidP="006D4397">
      <w:pPr>
        <w:widowControl/>
        <w:spacing w:line="360" w:lineRule="auto"/>
        <w:jc w:val="left"/>
        <w:rPr>
          <w:rFonts w:asciiTheme="minorEastAsia" w:hAnsiTheme="minorEastAsia"/>
          <w:b/>
          <w:color w:val="000000"/>
          <w:kern w:val="0"/>
          <w:szCs w:val="21"/>
        </w:rPr>
      </w:pPr>
      <w:r w:rsidRPr="006D4397">
        <w:rPr>
          <w:rFonts w:asciiTheme="minorEastAsia" w:hAnsiTheme="minorEastAsia" w:hint="eastAsia"/>
          <w:b/>
          <w:color w:val="000000"/>
          <w:kern w:val="0"/>
          <w:szCs w:val="21"/>
        </w:rPr>
        <w:t>5、</w:t>
      </w:r>
      <w:r w:rsidR="00C04D19" w:rsidRPr="006D4397">
        <w:rPr>
          <w:rFonts w:asciiTheme="minorEastAsia" w:hAnsiTheme="minorEastAsia" w:hint="eastAsia"/>
          <w:b/>
          <w:szCs w:val="21"/>
        </w:rPr>
        <w:t xml:space="preserve"> </w:t>
      </w:r>
      <w:r w:rsidR="00D37262" w:rsidRPr="006D4397">
        <w:rPr>
          <w:rFonts w:asciiTheme="minorEastAsia" w:hAnsiTheme="minorEastAsia" w:hint="eastAsia"/>
          <w:b/>
          <w:szCs w:val="21"/>
        </w:rPr>
        <w:t>学科未来发展方向</w:t>
      </w:r>
    </w:p>
    <w:p w:rsidR="006D4397" w:rsidRDefault="00D37262" w:rsidP="006D4397">
      <w:pPr>
        <w:widowControl/>
        <w:spacing w:line="360" w:lineRule="auto"/>
        <w:ind w:firstLineChars="200" w:firstLine="420"/>
        <w:jc w:val="left"/>
        <w:rPr>
          <w:rFonts w:asciiTheme="minorEastAsia" w:hAnsiTheme="minorEastAsia"/>
          <w:color w:val="000000"/>
          <w:kern w:val="0"/>
          <w:szCs w:val="21"/>
        </w:rPr>
      </w:pPr>
      <w:r w:rsidRPr="006D4397">
        <w:rPr>
          <w:rFonts w:asciiTheme="minorEastAsia" w:hAnsiTheme="minorEastAsia" w:hint="eastAsia"/>
          <w:color w:val="000000"/>
          <w:kern w:val="0"/>
          <w:szCs w:val="21"/>
        </w:rPr>
        <w:t>开展多学科交叉融合，继续发展脑血管疾病、癫痫与发作性疾病、运动障碍疾病、脱髓鞘与脊髓疾病、认知功能障碍疾病、周围神经与肌肉疾病、中枢神经系统感染与脑病以及疑难杂病专业等多种亚专业方向，为广大患者提供优质的医疗服务和神经系统疾病循证诊断与治疗；培养与国际接轨的医学人才，将学科建设成为国内、国际知名的专业。</w:t>
      </w:r>
    </w:p>
    <w:p w:rsidR="006D4397" w:rsidRDefault="006D4397" w:rsidP="006D4397">
      <w:pPr>
        <w:widowControl/>
        <w:spacing w:line="360" w:lineRule="auto"/>
        <w:jc w:val="left"/>
        <w:rPr>
          <w:rFonts w:asciiTheme="minorEastAsia" w:hAnsiTheme="minorEastAsia"/>
          <w:b/>
          <w:szCs w:val="21"/>
        </w:rPr>
      </w:pPr>
      <w:r w:rsidRPr="006D4397">
        <w:rPr>
          <w:rFonts w:asciiTheme="minorEastAsia" w:hAnsiTheme="minorEastAsia" w:hint="eastAsia"/>
          <w:b/>
          <w:color w:val="000000"/>
          <w:kern w:val="0"/>
          <w:szCs w:val="21"/>
        </w:rPr>
        <w:t>二、</w:t>
      </w:r>
      <w:r w:rsidR="00720619" w:rsidRPr="006D4397">
        <w:rPr>
          <w:rFonts w:asciiTheme="minorEastAsia" w:hAnsiTheme="minorEastAsia" w:hint="eastAsia"/>
          <w:b/>
          <w:szCs w:val="21"/>
        </w:rPr>
        <w:t>进修</w:t>
      </w:r>
      <w:r w:rsidR="00C2528E" w:rsidRPr="006D4397">
        <w:rPr>
          <w:rFonts w:asciiTheme="minorEastAsia" w:hAnsiTheme="minorEastAsia" w:hint="eastAsia"/>
          <w:b/>
          <w:szCs w:val="21"/>
        </w:rPr>
        <w:t>简介</w:t>
      </w:r>
    </w:p>
    <w:p w:rsidR="00720619" w:rsidRPr="006D4397" w:rsidRDefault="006D4397" w:rsidP="006D4397">
      <w:pPr>
        <w:widowControl/>
        <w:spacing w:line="360" w:lineRule="auto"/>
        <w:jc w:val="left"/>
        <w:rPr>
          <w:rFonts w:asciiTheme="minorEastAsia" w:hAnsiTheme="minorEastAsia"/>
          <w:b/>
          <w:color w:val="000000"/>
          <w:kern w:val="0"/>
          <w:szCs w:val="21"/>
        </w:rPr>
      </w:pPr>
      <w:r w:rsidRPr="006D4397">
        <w:rPr>
          <w:rFonts w:asciiTheme="minorEastAsia" w:hAnsiTheme="minorEastAsia" w:hint="eastAsia"/>
          <w:b/>
          <w:szCs w:val="21"/>
        </w:rPr>
        <w:t>1、</w:t>
      </w:r>
      <w:r w:rsidR="00720619" w:rsidRPr="006D4397">
        <w:rPr>
          <w:rFonts w:asciiTheme="minorEastAsia" w:hAnsiTheme="minorEastAsia" w:hint="eastAsia"/>
          <w:b/>
          <w:szCs w:val="21"/>
          <w:bdr w:val="none" w:sz="0" w:space="0" w:color="auto" w:frame="1"/>
        </w:rPr>
        <w:t>进修方向（亚专业及项目介绍）</w:t>
      </w:r>
    </w:p>
    <w:p w:rsidR="006D4397" w:rsidRDefault="00AF2CE2" w:rsidP="006D4397">
      <w:pPr>
        <w:widowControl/>
        <w:shd w:val="clear" w:color="auto" w:fill="FFFFFF"/>
        <w:spacing w:line="360" w:lineRule="auto"/>
        <w:ind w:firstLineChars="200" w:firstLine="420"/>
        <w:rPr>
          <w:rFonts w:asciiTheme="minorEastAsia" w:hAnsiTheme="minorEastAsia"/>
          <w:color w:val="000000"/>
          <w:kern w:val="0"/>
          <w:szCs w:val="21"/>
        </w:rPr>
      </w:pPr>
      <w:r w:rsidRPr="006D4397">
        <w:rPr>
          <w:rFonts w:asciiTheme="minorEastAsia" w:hAnsiTheme="minorEastAsia" w:hint="eastAsia"/>
          <w:color w:val="000000"/>
          <w:kern w:val="0"/>
          <w:szCs w:val="21"/>
        </w:rPr>
        <w:t>分别设有脑血管疾病、癫痫与发作性疾病、运动障碍疾病、脱髓鞘与脊髓疾病、认知功能障碍疾病、周围神经与肌肉疾病、中枢神经系统感染与脑病以及疑难杂病专业等多种亚专业方向</w:t>
      </w:r>
      <w:r w:rsidR="0002179F">
        <w:rPr>
          <w:rFonts w:asciiTheme="minorEastAsia" w:hAnsiTheme="minorEastAsia" w:hint="eastAsia"/>
          <w:color w:val="000000"/>
          <w:kern w:val="0"/>
          <w:szCs w:val="21"/>
        </w:rPr>
        <w:t>。</w:t>
      </w:r>
    </w:p>
    <w:p w:rsidR="00AF2CE2" w:rsidRPr="006D4397" w:rsidRDefault="006D4397" w:rsidP="006D4397">
      <w:pPr>
        <w:widowControl/>
        <w:shd w:val="clear" w:color="auto" w:fill="FFFFFF"/>
        <w:spacing w:line="360" w:lineRule="auto"/>
        <w:rPr>
          <w:rFonts w:asciiTheme="minorEastAsia" w:hAnsiTheme="minorEastAsia" w:cs="宋体"/>
          <w:b/>
          <w:color w:val="333333"/>
          <w:kern w:val="0"/>
          <w:szCs w:val="21"/>
        </w:rPr>
      </w:pPr>
      <w:r w:rsidRPr="006D4397">
        <w:rPr>
          <w:rFonts w:asciiTheme="minorEastAsia" w:hAnsiTheme="minorEastAsia" w:hint="eastAsia"/>
          <w:b/>
          <w:color w:val="000000"/>
          <w:kern w:val="0"/>
          <w:szCs w:val="21"/>
        </w:rPr>
        <w:t>2、</w:t>
      </w:r>
      <w:r w:rsidR="00720619" w:rsidRPr="006D4397">
        <w:rPr>
          <w:rFonts w:asciiTheme="minorEastAsia" w:hAnsiTheme="minorEastAsia" w:hint="eastAsia"/>
          <w:b/>
          <w:szCs w:val="21"/>
          <w:bdr w:val="none" w:sz="0" w:space="0" w:color="auto" w:frame="1"/>
        </w:rPr>
        <w:t>科室招收计划</w:t>
      </w:r>
      <w:r>
        <w:rPr>
          <w:rFonts w:asciiTheme="minorEastAsia" w:hAnsiTheme="minorEastAsia" w:hint="eastAsia"/>
          <w:b/>
          <w:szCs w:val="21"/>
          <w:bdr w:val="none" w:sz="0" w:space="0" w:color="auto" w:frame="1"/>
        </w:rPr>
        <w:t>：</w:t>
      </w:r>
      <w:r w:rsidR="00AF2CE2" w:rsidRPr="006D4397">
        <w:rPr>
          <w:rFonts w:asciiTheme="minorEastAsia" w:hAnsiTheme="minorEastAsia" w:cs="宋体" w:hint="eastAsia"/>
          <w:b/>
          <w:color w:val="333333"/>
          <w:kern w:val="0"/>
          <w:szCs w:val="21"/>
        </w:rPr>
        <w:t>每年招收两次，一次约为50人。</w:t>
      </w:r>
    </w:p>
    <w:p w:rsidR="00AF2CE2" w:rsidRPr="006D4397" w:rsidRDefault="003B2EAA" w:rsidP="006D4397">
      <w:pPr>
        <w:widowControl/>
        <w:shd w:val="clear" w:color="auto" w:fill="FFFFFF"/>
        <w:spacing w:line="360" w:lineRule="auto"/>
        <w:ind w:firstLineChars="196" w:firstLine="412"/>
        <w:jc w:val="left"/>
        <w:rPr>
          <w:rFonts w:asciiTheme="minorEastAsia" w:hAnsiTheme="minorEastAsia" w:cs="宋体"/>
          <w:b/>
          <w:color w:val="333333"/>
          <w:kern w:val="0"/>
          <w:szCs w:val="21"/>
        </w:rPr>
      </w:pPr>
      <w:r w:rsidRPr="006D4397">
        <w:rPr>
          <w:rFonts w:asciiTheme="minorEastAsia" w:hAnsiTheme="minorEastAsia" w:cs="宋体" w:hint="eastAsia"/>
          <w:bCs/>
          <w:color w:val="333333"/>
          <w:kern w:val="0"/>
          <w:szCs w:val="21"/>
          <w:bdr w:val="none" w:sz="0" w:space="0" w:color="auto" w:frame="1"/>
        </w:rPr>
        <w:t>招收时间及进修期限：</w:t>
      </w:r>
      <w:r w:rsidRPr="006D4397">
        <w:rPr>
          <w:rFonts w:asciiTheme="minorEastAsia" w:hAnsiTheme="minorEastAsia" w:cs="宋体" w:hint="eastAsia"/>
          <w:color w:val="333333"/>
          <w:kern w:val="0"/>
          <w:szCs w:val="21"/>
          <w:bdr w:val="none" w:sz="0" w:space="0" w:color="auto" w:frame="1"/>
        </w:rPr>
        <w:t>每年录取进修生两次，即春、秋季招生，进修期限为一年或半年。招生时间一般定在入学的前两月，即春季（3月初）入学者，1月份录取；秋季（9月初）入学者，</w:t>
      </w:r>
      <w:r w:rsidR="006D4397">
        <w:rPr>
          <w:rFonts w:asciiTheme="minorEastAsia" w:hAnsiTheme="minorEastAsia" w:cs="宋体" w:hint="eastAsia"/>
          <w:color w:val="333333"/>
          <w:kern w:val="0"/>
          <w:szCs w:val="21"/>
          <w:bdr w:val="none" w:sz="0" w:space="0" w:color="auto" w:frame="1"/>
        </w:rPr>
        <w:t>6</w:t>
      </w:r>
      <w:r w:rsidRPr="006D4397">
        <w:rPr>
          <w:rFonts w:asciiTheme="minorEastAsia" w:hAnsiTheme="minorEastAsia" w:cs="宋体" w:hint="eastAsia"/>
          <w:color w:val="333333"/>
          <w:kern w:val="0"/>
          <w:szCs w:val="21"/>
          <w:bdr w:val="none" w:sz="0" w:space="0" w:color="auto" w:frame="1"/>
        </w:rPr>
        <w:t>月录取。</w:t>
      </w:r>
    </w:p>
    <w:p w:rsidR="00AF2CE2" w:rsidRPr="006D4397" w:rsidRDefault="006D4397" w:rsidP="006D4397">
      <w:pPr>
        <w:widowControl/>
        <w:shd w:val="clear" w:color="auto" w:fill="FFFFFF"/>
        <w:spacing w:line="360" w:lineRule="auto"/>
        <w:jc w:val="left"/>
        <w:rPr>
          <w:rFonts w:asciiTheme="minorEastAsia" w:hAnsiTheme="minorEastAsia" w:cs="宋体"/>
          <w:b/>
          <w:color w:val="333333"/>
          <w:kern w:val="0"/>
          <w:szCs w:val="21"/>
        </w:rPr>
      </w:pPr>
      <w:r>
        <w:rPr>
          <w:rFonts w:asciiTheme="minorEastAsia" w:hAnsiTheme="minorEastAsia" w:cs="宋体" w:hint="eastAsia"/>
          <w:b/>
          <w:bCs/>
          <w:color w:val="333333"/>
          <w:kern w:val="0"/>
          <w:szCs w:val="21"/>
          <w:bdr w:val="none" w:sz="0" w:space="0" w:color="auto" w:frame="1"/>
        </w:rPr>
        <w:lastRenderedPageBreak/>
        <w:t>3、</w:t>
      </w:r>
      <w:r w:rsidR="00720619" w:rsidRPr="006D4397">
        <w:rPr>
          <w:rFonts w:asciiTheme="minorEastAsia" w:hAnsiTheme="minorEastAsia" w:cs="宋体" w:hint="eastAsia"/>
          <w:b/>
          <w:bCs/>
          <w:color w:val="333333"/>
          <w:kern w:val="0"/>
          <w:szCs w:val="21"/>
          <w:bdr w:val="none" w:sz="0" w:space="0" w:color="auto" w:frame="1"/>
        </w:rPr>
        <w:t>培养方式：</w:t>
      </w:r>
      <w:r w:rsidR="00720619" w:rsidRPr="006D4397">
        <w:rPr>
          <w:rFonts w:asciiTheme="minorEastAsia" w:hAnsiTheme="minorEastAsia" w:cs="宋体"/>
          <w:color w:val="333333"/>
          <w:kern w:val="0"/>
          <w:szCs w:val="21"/>
          <w:bdr w:val="none" w:sz="0" w:space="0" w:color="auto" w:frame="1"/>
        </w:rPr>
        <w:t>病房轮转学习、专题讲座学习、学科及专业交叉查房学习、疑难病案分析讨论，临床科研等。</w:t>
      </w:r>
    </w:p>
    <w:p w:rsidR="006D4397" w:rsidRPr="006D4397" w:rsidRDefault="006D4397" w:rsidP="006D4397">
      <w:pPr>
        <w:widowControl/>
        <w:shd w:val="clear" w:color="auto" w:fill="FFFFFF"/>
        <w:spacing w:line="360" w:lineRule="auto"/>
        <w:jc w:val="left"/>
        <w:rPr>
          <w:rFonts w:asciiTheme="minorEastAsia" w:hAnsiTheme="minorEastAsia" w:cs="宋体"/>
          <w:color w:val="333333"/>
          <w:kern w:val="0"/>
          <w:szCs w:val="21"/>
        </w:rPr>
      </w:pPr>
      <w:r>
        <w:rPr>
          <w:rFonts w:asciiTheme="minorEastAsia" w:hAnsiTheme="minorEastAsia" w:cs="宋体" w:hint="eastAsia"/>
          <w:b/>
          <w:color w:val="333333"/>
          <w:kern w:val="0"/>
          <w:szCs w:val="21"/>
        </w:rPr>
        <w:t>4、</w:t>
      </w:r>
      <w:r w:rsidR="003B2EAA" w:rsidRPr="006D4397">
        <w:rPr>
          <w:rFonts w:asciiTheme="minorEastAsia" w:hAnsiTheme="minorEastAsia" w:cs="宋体" w:hint="eastAsia"/>
          <w:b/>
          <w:color w:val="333333"/>
          <w:kern w:val="0"/>
          <w:szCs w:val="21"/>
        </w:rPr>
        <w:t>进修结业考核：</w:t>
      </w:r>
      <w:r w:rsidR="00AF2CE2" w:rsidRPr="006D4397">
        <w:rPr>
          <w:rFonts w:asciiTheme="minorEastAsia" w:hAnsiTheme="minorEastAsia" w:cs="宋体" w:hint="eastAsia"/>
          <w:color w:val="333333"/>
          <w:kern w:val="0"/>
          <w:szCs w:val="21"/>
        </w:rPr>
        <w:t>采用平时考核与结业笔试相结合的方式</w:t>
      </w:r>
    </w:p>
    <w:p w:rsidR="00777445" w:rsidRPr="006D4397" w:rsidRDefault="006D4397" w:rsidP="006D4397">
      <w:pPr>
        <w:widowControl/>
        <w:spacing w:line="360" w:lineRule="auto"/>
        <w:jc w:val="left"/>
        <w:rPr>
          <w:rFonts w:asciiTheme="minorEastAsia" w:hAnsiTheme="minorEastAsia"/>
          <w:b/>
          <w:color w:val="000000"/>
          <w:kern w:val="0"/>
          <w:szCs w:val="21"/>
        </w:rPr>
      </w:pPr>
      <w:r w:rsidRPr="006D4397">
        <w:rPr>
          <w:rFonts w:asciiTheme="minorEastAsia" w:hAnsiTheme="minorEastAsia" w:hint="eastAsia"/>
          <w:b/>
          <w:color w:val="000000"/>
          <w:kern w:val="0"/>
          <w:szCs w:val="21"/>
        </w:rPr>
        <w:t>三、</w:t>
      </w:r>
      <w:r w:rsidR="00D816B7" w:rsidRPr="006D4397">
        <w:rPr>
          <w:rFonts w:asciiTheme="minorEastAsia" w:hAnsiTheme="minorEastAsia" w:hint="eastAsia"/>
          <w:b/>
          <w:color w:val="000000"/>
          <w:kern w:val="0"/>
          <w:szCs w:val="21"/>
        </w:rPr>
        <w:t>进修学员资质要求</w:t>
      </w:r>
    </w:p>
    <w:p w:rsidR="00AF2CE2" w:rsidRPr="006D4397" w:rsidRDefault="00AF2CE2" w:rsidP="006D4397">
      <w:pPr>
        <w:widowControl/>
        <w:shd w:val="clear" w:color="auto" w:fill="FFFFFF"/>
        <w:spacing w:line="360" w:lineRule="auto"/>
        <w:ind w:firstLineChars="200" w:firstLine="420"/>
        <w:jc w:val="left"/>
        <w:rPr>
          <w:rFonts w:asciiTheme="minorEastAsia" w:hAnsiTheme="minorEastAsia" w:cs="宋体"/>
          <w:bCs/>
          <w:color w:val="333333"/>
          <w:kern w:val="0"/>
          <w:szCs w:val="21"/>
          <w:bdr w:val="none" w:sz="0" w:space="0" w:color="auto" w:frame="1"/>
        </w:rPr>
      </w:pPr>
      <w:r w:rsidRPr="006D4397">
        <w:rPr>
          <w:rFonts w:asciiTheme="minorEastAsia" w:hAnsiTheme="minorEastAsia" w:cs="宋体" w:hint="eastAsia"/>
          <w:bCs/>
          <w:color w:val="333333"/>
          <w:kern w:val="0"/>
          <w:szCs w:val="21"/>
          <w:bdr w:val="none" w:sz="0" w:space="0" w:color="auto" w:frame="1"/>
        </w:rPr>
        <w:t>进修临床科室的医师必须具备本科毕业二年以上的资历，且必须具有医师资格（无医师资格证者，概不接收），同等条件下择优录取。来我院进修须由本单位选送（单位签字盖章）。</w:t>
      </w:r>
    </w:p>
    <w:p w:rsidR="00AF2CE2" w:rsidRPr="006D4397" w:rsidRDefault="00DD7C4B" w:rsidP="006D4397">
      <w:pPr>
        <w:widowControl/>
        <w:shd w:val="clear" w:color="auto" w:fill="FFFFFF"/>
        <w:spacing w:line="360" w:lineRule="auto"/>
        <w:ind w:left="5798" w:hangingChars="2750" w:hanging="5798"/>
        <w:jc w:val="left"/>
        <w:rPr>
          <w:rFonts w:asciiTheme="minorEastAsia" w:hAnsiTheme="minorEastAsia" w:cs="宋体"/>
          <w:b/>
          <w:bCs/>
          <w:color w:val="333333"/>
          <w:kern w:val="0"/>
          <w:szCs w:val="21"/>
        </w:rPr>
      </w:pPr>
      <w:r w:rsidRPr="006D4397">
        <w:rPr>
          <w:rFonts w:asciiTheme="minorEastAsia" w:hAnsiTheme="minorEastAsia" w:cs="宋体"/>
          <w:b/>
          <w:bCs/>
          <w:color w:val="333333"/>
          <w:kern w:val="0"/>
          <w:szCs w:val="21"/>
        </w:rPr>
        <w:t>   </w:t>
      </w:r>
      <w:bookmarkStart w:id="0" w:name="_GoBack"/>
      <w:bookmarkEnd w:id="0"/>
      <w:r w:rsidRPr="006D4397">
        <w:rPr>
          <w:rFonts w:asciiTheme="minorEastAsia" w:hAnsiTheme="minorEastAsia" w:cs="宋体"/>
          <w:b/>
          <w:bCs/>
          <w:color w:val="333333"/>
          <w:kern w:val="0"/>
          <w:szCs w:val="21"/>
        </w:rPr>
        <w:t>                           </w:t>
      </w:r>
      <w:r w:rsidR="00AF2CE2" w:rsidRPr="006D4397">
        <w:rPr>
          <w:rFonts w:asciiTheme="minorEastAsia" w:hAnsiTheme="minorEastAsia" w:cs="宋体"/>
          <w:b/>
          <w:bCs/>
          <w:color w:val="333333"/>
          <w:kern w:val="0"/>
          <w:szCs w:val="21"/>
        </w:rPr>
        <w:t>         </w:t>
      </w:r>
    </w:p>
    <w:p w:rsidR="008A1D76" w:rsidRPr="006D4397" w:rsidRDefault="00DD7C4B" w:rsidP="006D4397">
      <w:pPr>
        <w:widowControl/>
        <w:shd w:val="clear" w:color="auto" w:fill="FFFFFF"/>
        <w:spacing w:line="360" w:lineRule="auto"/>
        <w:ind w:leftChars="2300" w:left="5775" w:hangingChars="450" w:hanging="945"/>
        <w:jc w:val="left"/>
        <w:rPr>
          <w:rFonts w:asciiTheme="minorEastAsia" w:hAnsiTheme="minorEastAsia" w:cs="宋体"/>
          <w:color w:val="333333"/>
          <w:kern w:val="0"/>
          <w:szCs w:val="21"/>
          <w:bdr w:val="none" w:sz="0" w:space="0" w:color="auto" w:frame="1"/>
        </w:rPr>
      </w:pPr>
      <w:r w:rsidRPr="006D4397">
        <w:rPr>
          <w:rFonts w:asciiTheme="minorEastAsia" w:hAnsiTheme="minorEastAsia" w:cs="宋体"/>
          <w:color w:val="333333"/>
          <w:kern w:val="0"/>
          <w:szCs w:val="21"/>
          <w:bdr w:val="none" w:sz="0" w:space="0" w:color="auto" w:frame="1"/>
        </w:rPr>
        <w:t>四川大学华西医院</w:t>
      </w:r>
      <w:r w:rsidR="00AF2CE2" w:rsidRPr="006D4397">
        <w:rPr>
          <w:rFonts w:asciiTheme="minorEastAsia" w:hAnsiTheme="minorEastAsia" w:cs="宋体" w:hint="eastAsia"/>
          <w:color w:val="333333"/>
          <w:kern w:val="0"/>
          <w:szCs w:val="21"/>
          <w:bdr w:val="none" w:sz="0" w:space="0" w:color="auto" w:frame="1"/>
        </w:rPr>
        <w:t>神经内</w:t>
      </w:r>
      <w:r w:rsidRPr="006D4397">
        <w:rPr>
          <w:rFonts w:asciiTheme="minorEastAsia" w:hAnsiTheme="minorEastAsia" w:cs="宋体"/>
          <w:color w:val="333333"/>
          <w:kern w:val="0"/>
          <w:szCs w:val="21"/>
          <w:bdr w:val="none" w:sz="0" w:space="0" w:color="auto" w:frame="1"/>
        </w:rPr>
        <w:t>科</w:t>
      </w:r>
    </w:p>
    <w:p w:rsidR="006D4397" w:rsidRDefault="006D4397" w:rsidP="006D4397">
      <w:pPr>
        <w:widowControl/>
        <w:shd w:val="clear" w:color="auto" w:fill="FFFFFF"/>
        <w:spacing w:line="360" w:lineRule="auto"/>
        <w:ind w:firstLineChars="1500" w:firstLine="3150"/>
        <w:jc w:val="left"/>
        <w:rPr>
          <w:rFonts w:asciiTheme="minorEastAsia" w:hAnsiTheme="minorEastAsia" w:cs="宋体"/>
          <w:color w:val="333333"/>
          <w:kern w:val="0"/>
          <w:szCs w:val="21"/>
          <w:bdr w:val="none" w:sz="0" w:space="0" w:color="auto" w:frame="1"/>
        </w:rPr>
      </w:pPr>
    </w:p>
    <w:p w:rsidR="006C74F8" w:rsidRPr="006D4397" w:rsidRDefault="00DD7C4B" w:rsidP="006D4397">
      <w:pPr>
        <w:widowControl/>
        <w:shd w:val="clear" w:color="auto" w:fill="FFFFFF"/>
        <w:spacing w:line="360" w:lineRule="auto"/>
        <w:ind w:firstLineChars="2350" w:firstLine="4935"/>
        <w:jc w:val="left"/>
        <w:rPr>
          <w:rFonts w:asciiTheme="minorEastAsia" w:hAnsiTheme="minorEastAsia" w:cs="宋体"/>
          <w:color w:val="333333"/>
          <w:kern w:val="0"/>
          <w:szCs w:val="21"/>
          <w:bdr w:val="none" w:sz="0" w:space="0" w:color="auto" w:frame="1"/>
        </w:rPr>
      </w:pPr>
      <w:r w:rsidRPr="006D4397">
        <w:rPr>
          <w:rFonts w:asciiTheme="minorEastAsia" w:hAnsiTheme="minorEastAsia" w:cs="宋体"/>
          <w:color w:val="333333"/>
          <w:kern w:val="0"/>
          <w:szCs w:val="21"/>
          <w:bdr w:val="none" w:sz="0" w:space="0" w:color="auto" w:frame="1"/>
        </w:rPr>
        <w:t>20</w:t>
      </w:r>
      <w:r w:rsidR="004E78C3" w:rsidRPr="006D4397">
        <w:rPr>
          <w:rFonts w:asciiTheme="minorEastAsia" w:hAnsiTheme="minorEastAsia" w:cs="宋体" w:hint="eastAsia"/>
          <w:color w:val="333333"/>
          <w:kern w:val="0"/>
          <w:szCs w:val="21"/>
          <w:bdr w:val="none" w:sz="0" w:space="0" w:color="auto" w:frame="1"/>
        </w:rPr>
        <w:t>14</w:t>
      </w:r>
      <w:r w:rsidRPr="006D4397">
        <w:rPr>
          <w:rFonts w:asciiTheme="minorEastAsia" w:hAnsiTheme="minorEastAsia" w:cs="宋体"/>
          <w:color w:val="333333"/>
          <w:kern w:val="0"/>
          <w:szCs w:val="21"/>
          <w:bdr w:val="none" w:sz="0" w:space="0" w:color="auto" w:frame="1"/>
        </w:rPr>
        <w:t>年</w:t>
      </w:r>
      <w:r w:rsidR="004E78C3" w:rsidRPr="006D4397">
        <w:rPr>
          <w:rFonts w:asciiTheme="minorEastAsia" w:hAnsiTheme="minorEastAsia" w:cs="宋体" w:hint="eastAsia"/>
          <w:color w:val="333333"/>
          <w:kern w:val="0"/>
          <w:szCs w:val="21"/>
          <w:bdr w:val="none" w:sz="0" w:space="0" w:color="auto" w:frame="1"/>
        </w:rPr>
        <w:t>10</w:t>
      </w:r>
      <w:r w:rsidRPr="006D4397">
        <w:rPr>
          <w:rFonts w:asciiTheme="minorEastAsia" w:hAnsiTheme="minorEastAsia" w:cs="宋体"/>
          <w:color w:val="333333"/>
          <w:kern w:val="0"/>
          <w:szCs w:val="21"/>
          <w:bdr w:val="none" w:sz="0" w:space="0" w:color="auto" w:frame="1"/>
        </w:rPr>
        <w:t>月1</w:t>
      </w:r>
      <w:r w:rsidR="004E78C3" w:rsidRPr="006D4397">
        <w:rPr>
          <w:rFonts w:asciiTheme="minorEastAsia" w:hAnsiTheme="minorEastAsia" w:cs="宋体" w:hint="eastAsia"/>
          <w:color w:val="333333"/>
          <w:kern w:val="0"/>
          <w:szCs w:val="21"/>
          <w:bdr w:val="none" w:sz="0" w:space="0" w:color="auto" w:frame="1"/>
        </w:rPr>
        <w:t>3</w:t>
      </w:r>
      <w:r w:rsidRPr="006D4397">
        <w:rPr>
          <w:rFonts w:asciiTheme="minorEastAsia" w:hAnsiTheme="minorEastAsia" w:cs="宋体"/>
          <w:color w:val="333333"/>
          <w:kern w:val="0"/>
          <w:szCs w:val="21"/>
          <w:bdr w:val="none" w:sz="0" w:space="0" w:color="auto" w:frame="1"/>
        </w:rPr>
        <w:t>日</w:t>
      </w:r>
    </w:p>
    <w:sectPr w:rsidR="006C74F8" w:rsidRPr="006D4397"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0B" w:rsidRDefault="00F21F0B" w:rsidP="00DD7C4B">
      <w:r>
        <w:separator/>
      </w:r>
    </w:p>
  </w:endnote>
  <w:endnote w:type="continuationSeparator" w:id="0">
    <w:p w:rsidR="00F21F0B" w:rsidRDefault="00F21F0B"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0B" w:rsidRDefault="00F21F0B" w:rsidP="00DD7C4B">
      <w:r>
        <w:separator/>
      </w:r>
    </w:p>
  </w:footnote>
  <w:footnote w:type="continuationSeparator" w:id="0">
    <w:p w:rsidR="00F21F0B" w:rsidRDefault="00F21F0B"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CD7"/>
    <w:multiLevelType w:val="hybridMultilevel"/>
    <w:tmpl w:val="04A0AE8C"/>
    <w:lvl w:ilvl="0" w:tplc="3280D76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49084C"/>
    <w:multiLevelType w:val="hybridMultilevel"/>
    <w:tmpl w:val="C4466418"/>
    <w:lvl w:ilvl="0" w:tplc="FD2406A2">
      <w:start w:val="2"/>
      <w:numFmt w:val="japaneseCounting"/>
      <w:lvlText w:val="%1．"/>
      <w:lvlJc w:val="left"/>
      <w:pPr>
        <w:ind w:left="460" w:hanging="4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957B94"/>
    <w:multiLevelType w:val="hybridMultilevel"/>
    <w:tmpl w:val="7F22ABB2"/>
    <w:lvl w:ilvl="0" w:tplc="605ACAD2">
      <w:start w:val="1"/>
      <w:numFmt w:val="japaneseCounting"/>
      <w:lvlText w:val="%1、"/>
      <w:lvlJc w:val="left"/>
      <w:pPr>
        <w:ind w:left="450" w:hanging="450"/>
      </w:pPr>
      <w:rPr>
        <w:rFonts w:cs="宋体" w:hint="default"/>
        <w:color w:val="3333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7F1E0167"/>
    <w:multiLevelType w:val="hybridMultilevel"/>
    <w:tmpl w:val="9A9A70E4"/>
    <w:lvl w:ilvl="0" w:tplc="295E702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C4B"/>
    <w:rsid w:val="0002179F"/>
    <w:rsid w:val="000C2A3C"/>
    <w:rsid w:val="00192CC1"/>
    <w:rsid w:val="001A503C"/>
    <w:rsid w:val="001C7B23"/>
    <w:rsid w:val="001D7875"/>
    <w:rsid w:val="0023330A"/>
    <w:rsid w:val="002D3123"/>
    <w:rsid w:val="00342AD8"/>
    <w:rsid w:val="00357493"/>
    <w:rsid w:val="003B2EAA"/>
    <w:rsid w:val="004147CB"/>
    <w:rsid w:val="00466714"/>
    <w:rsid w:val="004E78C3"/>
    <w:rsid w:val="006C74F8"/>
    <w:rsid w:val="006D4397"/>
    <w:rsid w:val="00720619"/>
    <w:rsid w:val="00761BE9"/>
    <w:rsid w:val="00777445"/>
    <w:rsid w:val="00820F94"/>
    <w:rsid w:val="008A1D76"/>
    <w:rsid w:val="00912C29"/>
    <w:rsid w:val="00A00C4F"/>
    <w:rsid w:val="00A635D8"/>
    <w:rsid w:val="00AF2CE2"/>
    <w:rsid w:val="00B3113E"/>
    <w:rsid w:val="00C04D19"/>
    <w:rsid w:val="00C2528E"/>
    <w:rsid w:val="00C67442"/>
    <w:rsid w:val="00D37262"/>
    <w:rsid w:val="00D816B7"/>
    <w:rsid w:val="00DB04FB"/>
    <w:rsid w:val="00DD7C4B"/>
    <w:rsid w:val="00E621C7"/>
    <w:rsid w:val="00EC6413"/>
    <w:rsid w:val="00F21F0B"/>
    <w:rsid w:val="00F81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1">
    <w:name w:val="heading 1"/>
    <w:basedOn w:val="a"/>
    <w:next w:val="a"/>
    <w:link w:val="1Char"/>
    <w:uiPriority w:val="9"/>
    <w:qFormat/>
    <w:rsid w:val="00C04D1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04D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04D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4D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 w:type="character" w:customStyle="1" w:styleId="2Char">
    <w:name w:val="标题 2 Char"/>
    <w:basedOn w:val="a0"/>
    <w:link w:val="2"/>
    <w:uiPriority w:val="9"/>
    <w:rsid w:val="00C04D19"/>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04D19"/>
    <w:rPr>
      <w:b/>
      <w:bCs/>
      <w:kern w:val="44"/>
      <w:sz w:val="44"/>
      <w:szCs w:val="44"/>
    </w:rPr>
  </w:style>
  <w:style w:type="character" w:customStyle="1" w:styleId="3Char">
    <w:name w:val="标题 3 Char"/>
    <w:basedOn w:val="a0"/>
    <w:link w:val="3"/>
    <w:uiPriority w:val="9"/>
    <w:rsid w:val="00C04D19"/>
    <w:rPr>
      <w:b/>
      <w:bCs/>
      <w:sz w:val="32"/>
      <w:szCs w:val="32"/>
    </w:rPr>
  </w:style>
  <w:style w:type="character" w:customStyle="1" w:styleId="4Char">
    <w:name w:val="标题 4 Char"/>
    <w:basedOn w:val="a0"/>
    <w:link w:val="4"/>
    <w:uiPriority w:val="9"/>
    <w:rsid w:val="00C04D19"/>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1">
    <w:name w:val="heading 1"/>
    <w:basedOn w:val="a"/>
    <w:next w:val="a"/>
    <w:link w:val="10"/>
    <w:uiPriority w:val="9"/>
    <w:qFormat/>
    <w:rsid w:val="00C04D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04D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04D1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4D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0"/>
    <w:uiPriority w:val="9"/>
    <w:qFormat/>
    <w:rsid w:val="00DD7C4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DD7C4B"/>
    <w:rPr>
      <w:sz w:val="18"/>
      <w:szCs w:val="18"/>
    </w:rPr>
  </w:style>
  <w:style w:type="paragraph" w:styleId="a5">
    <w:name w:val="footer"/>
    <w:basedOn w:val="a"/>
    <w:link w:val="a6"/>
    <w:uiPriority w:val="99"/>
    <w:semiHidden/>
    <w:unhideWhenUsed/>
    <w:rsid w:val="00DD7C4B"/>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DD7C4B"/>
    <w:rPr>
      <w:sz w:val="18"/>
      <w:szCs w:val="18"/>
    </w:rPr>
  </w:style>
  <w:style w:type="character" w:customStyle="1" w:styleId="50">
    <w:name w:val="标题 5字符"/>
    <w:basedOn w:val="a0"/>
    <w:link w:val="5"/>
    <w:uiPriority w:val="9"/>
    <w:rsid w:val="00DD7C4B"/>
    <w:rPr>
      <w:rFonts w:ascii="宋体" w:eastAsia="宋体" w:hAnsi="宋体" w:cs="宋体"/>
      <w:b/>
      <w:bCs/>
      <w:kern w:val="0"/>
      <w:sz w:val="20"/>
      <w:szCs w:val="20"/>
    </w:rPr>
  </w:style>
  <w:style w:type="character" w:customStyle="1" w:styleId="apple-converted-space">
    <w:name w:val="apple-converted-space"/>
    <w:basedOn w:val="a0"/>
    <w:rsid w:val="00DD7C4B"/>
  </w:style>
  <w:style w:type="paragraph" w:styleId="a7">
    <w:name w:val="Normal (Web)"/>
    <w:basedOn w:val="a"/>
    <w:uiPriority w:val="99"/>
    <w:semiHidden/>
    <w:unhideWhenUsed/>
    <w:rsid w:val="00DD7C4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7C4B"/>
    <w:rPr>
      <w:b/>
      <w:bCs/>
    </w:rPr>
  </w:style>
  <w:style w:type="paragraph" w:styleId="a9">
    <w:name w:val="List Paragraph"/>
    <w:basedOn w:val="a"/>
    <w:uiPriority w:val="34"/>
    <w:qFormat/>
    <w:rsid w:val="00720619"/>
    <w:pPr>
      <w:ind w:firstLineChars="200" w:firstLine="420"/>
    </w:pPr>
  </w:style>
  <w:style w:type="character" w:customStyle="1" w:styleId="20">
    <w:name w:val="标题 2字符"/>
    <w:basedOn w:val="a0"/>
    <w:link w:val="2"/>
    <w:uiPriority w:val="9"/>
    <w:rsid w:val="00C04D19"/>
    <w:rPr>
      <w:rFonts w:asciiTheme="majorHAnsi" w:eastAsiaTheme="majorEastAsia" w:hAnsiTheme="majorHAnsi" w:cstheme="majorBidi"/>
      <w:b/>
      <w:bCs/>
      <w:sz w:val="32"/>
      <w:szCs w:val="32"/>
    </w:rPr>
  </w:style>
  <w:style w:type="character" w:customStyle="1" w:styleId="10">
    <w:name w:val="标题 1字符"/>
    <w:basedOn w:val="a0"/>
    <w:link w:val="1"/>
    <w:uiPriority w:val="9"/>
    <w:rsid w:val="00C04D19"/>
    <w:rPr>
      <w:b/>
      <w:bCs/>
      <w:kern w:val="44"/>
      <w:sz w:val="44"/>
      <w:szCs w:val="44"/>
    </w:rPr>
  </w:style>
  <w:style w:type="character" w:customStyle="1" w:styleId="30">
    <w:name w:val="标题 3字符"/>
    <w:basedOn w:val="a0"/>
    <w:link w:val="3"/>
    <w:uiPriority w:val="9"/>
    <w:rsid w:val="00C04D19"/>
    <w:rPr>
      <w:b/>
      <w:bCs/>
      <w:sz w:val="32"/>
      <w:szCs w:val="32"/>
    </w:rPr>
  </w:style>
  <w:style w:type="character" w:customStyle="1" w:styleId="40">
    <w:name w:val="标题 4字符"/>
    <w:basedOn w:val="a0"/>
    <w:link w:val="4"/>
    <w:uiPriority w:val="9"/>
    <w:rsid w:val="00C04D19"/>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C749-62F1-4717-B2C3-B1505297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2014-12-04T07:15:00Z</dcterms:created>
  <dcterms:modified xsi:type="dcterms:W3CDTF">2016-10-26T04:01:00Z</dcterms:modified>
</cp:coreProperties>
</file>