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99" w:rsidRPr="00281BE1" w:rsidRDefault="00557899" w:rsidP="00DC71D6">
      <w:pPr>
        <w:spacing w:line="360" w:lineRule="auto"/>
        <w:jc w:val="center"/>
        <w:rPr>
          <w:rFonts w:ascii="方正小标宋简体" w:eastAsia="方正小标宋简体" w:hAnsi="黑体" w:hint="eastAsia"/>
          <w:sz w:val="44"/>
          <w:szCs w:val="44"/>
        </w:rPr>
      </w:pPr>
      <w:r w:rsidRPr="00281BE1">
        <w:rPr>
          <w:rFonts w:ascii="方正小标宋简体" w:eastAsia="方正小标宋简体" w:hAnsi="黑体" w:hint="eastAsia"/>
          <w:sz w:val="44"/>
          <w:szCs w:val="44"/>
        </w:rPr>
        <w:t>胸外科进修招生简章</w:t>
      </w:r>
    </w:p>
    <w:p w:rsidR="00557899" w:rsidRPr="00281BE1" w:rsidRDefault="00557899" w:rsidP="00DC71D6">
      <w:pPr>
        <w:pStyle w:val="a3"/>
        <w:widowControl/>
        <w:numPr>
          <w:ilvl w:val="0"/>
          <w:numId w:val="1"/>
        </w:numPr>
        <w:shd w:val="clear" w:color="auto" w:fill="FFFFFF"/>
        <w:spacing w:line="360" w:lineRule="auto"/>
        <w:ind w:firstLineChars="0"/>
        <w:jc w:val="left"/>
        <w:rPr>
          <w:rFonts w:ascii="仿宋_GB2312" w:eastAsia="仿宋_GB2312" w:hAnsi="仿宋" w:cs="宋体" w:hint="eastAsia"/>
          <w:b/>
          <w:color w:val="333333"/>
          <w:kern w:val="0"/>
          <w:sz w:val="28"/>
          <w:szCs w:val="28"/>
          <w:bdr w:val="none" w:sz="0" w:space="0" w:color="auto" w:frame="1"/>
        </w:rPr>
      </w:pPr>
      <w:r w:rsidRPr="00281BE1">
        <w:rPr>
          <w:rFonts w:ascii="仿宋_GB2312" w:eastAsia="仿宋_GB2312" w:hAnsi="仿宋" w:cs="宋体" w:hint="eastAsia"/>
          <w:b/>
          <w:color w:val="333333"/>
          <w:kern w:val="0"/>
          <w:sz w:val="28"/>
          <w:szCs w:val="28"/>
          <w:bdr w:val="none" w:sz="0" w:space="0" w:color="auto" w:frame="1"/>
        </w:rPr>
        <w:t>科室简介</w:t>
      </w:r>
    </w:p>
    <w:p w:rsidR="00557899" w:rsidRPr="00281BE1" w:rsidRDefault="00557899" w:rsidP="00DC71D6">
      <w:pPr>
        <w:widowControl/>
        <w:shd w:val="clear" w:color="auto" w:fill="FFFFFF"/>
        <w:spacing w:line="360" w:lineRule="auto"/>
        <w:jc w:val="left"/>
        <w:rPr>
          <w:rFonts w:ascii="仿宋_GB2312" w:eastAsia="仿宋_GB2312" w:hAnsi="仿宋" w:cs="宋体" w:hint="eastAsia"/>
          <w:color w:val="333333"/>
          <w:kern w:val="0"/>
          <w:sz w:val="28"/>
          <w:szCs w:val="28"/>
          <w:bdr w:val="none" w:sz="0" w:space="0" w:color="auto" w:frame="1"/>
        </w:rPr>
      </w:pPr>
      <w:r w:rsidRPr="00281BE1">
        <w:rPr>
          <w:rFonts w:ascii="仿宋_GB2312" w:eastAsia="仿宋_GB2312" w:hAnsi="仿宋" w:cs="宋体" w:hint="eastAsia"/>
          <w:color w:val="333333"/>
          <w:kern w:val="0"/>
          <w:sz w:val="28"/>
          <w:szCs w:val="28"/>
          <w:bdr w:val="none" w:sz="0" w:space="0" w:color="auto" w:frame="1"/>
        </w:rPr>
        <w:t>1.科室学科建设情况</w:t>
      </w:r>
    </w:p>
    <w:p w:rsidR="00557899" w:rsidRPr="00281BE1" w:rsidRDefault="00557899" w:rsidP="00281BE1">
      <w:pPr>
        <w:widowControl/>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四川大学华西医院胸外科始建于1954年，是国内最早建立的胸心血管外科专业之一，目前是教育部“国家重点学科”</w:t>
      </w:r>
      <w:r w:rsidR="000C0FD8" w:rsidRPr="00281BE1">
        <w:rPr>
          <w:rFonts w:ascii="仿宋_GB2312" w:eastAsia="仿宋_GB2312" w:hAnsi="Times New Roman" w:cs="Times New Roman" w:hint="eastAsia"/>
          <w:color w:val="000000"/>
          <w:kern w:val="0"/>
          <w:sz w:val="28"/>
          <w:szCs w:val="28"/>
        </w:rPr>
        <w:t>和卫健</w:t>
      </w:r>
      <w:r w:rsidRPr="00281BE1">
        <w:rPr>
          <w:rFonts w:ascii="仿宋_GB2312" w:eastAsia="仿宋_GB2312" w:hAnsi="Times New Roman" w:cs="Times New Roman" w:hint="eastAsia"/>
          <w:color w:val="000000"/>
          <w:kern w:val="0"/>
          <w:sz w:val="28"/>
          <w:szCs w:val="28"/>
        </w:rPr>
        <w:t>委“国家临床重点专科”</w:t>
      </w:r>
      <w:r w:rsidR="000C0FD8" w:rsidRPr="00281BE1">
        <w:rPr>
          <w:rFonts w:ascii="仿宋_GB2312" w:eastAsia="仿宋_GB2312" w:hAnsi="Times New Roman" w:cs="Times New Roman" w:hint="eastAsia"/>
          <w:color w:val="000000"/>
          <w:kern w:val="0"/>
          <w:sz w:val="28"/>
          <w:szCs w:val="28"/>
        </w:rPr>
        <w:t>、</w:t>
      </w:r>
      <w:r w:rsidRPr="00281BE1">
        <w:rPr>
          <w:rFonts w:ascii="仿宋_GB2312" w:eastAsia="仿宋_GB2312" w:hAnsi="Times New Roman" w:cs="Times New Roman" w:hint="eastAsia"/>
          <w:color w:val="000000"/>
          <w:kern w:val="0"/>
          <w:sz w:val="28"/>
          <w:szCs w:val="28"/>
        </w:rPr>
        <w:t>卫</w:t>
      </w:r>
      <w:r w:rsidR="000C0FD8" w:rsidRPr="00281BE1">
        <w:rPr>
          <w:rFonts w:ascii="仿宋_GB2312" w:eastAsia="仿宋_GB2312" w:hAnsi="Times New Roman" w:cs="Times New Roman" w:hint="eastAsia"/>
          <w:color w:val="000000"/>
          <w:kern w:val="0"/>
          <w:sz w:val="28"/>
          <w:szCs w:val="28"/>
        </w:rPr>
        <w:t>健</w:t>
      </w:r>
      <w:r w:rsidRPr="00281BE1">
        <w:rPr>
          <w:rFonts w:ascii="仿宋_GB2312" w:eastAsia="仿宋_GB2312" w:hAnsi="Times New Roman" w:cs="Times New Roman" w:hint="eastAsia"/>
          <w:color w:val="000000"/>
          <w:kern w:val="0"/>
          <w:sz w:val="28"/>
          <w:szCs w:val="28"/>
        </w:rPr>
        <w:t>委胸外科专科医师培训基地</w:t>
      </w:r>
      <w:r w:rsidR="000C0FD8" w:rsidRPr="00281BE1">
        <w:rPr>
          <w:rFonts w:ascii="仿宋_GB2312" w:eastAsia="仿宋_GB2312" w:hAnsi="Times New Roman" w:cs="Times New Roman" w:hint="eastAsia"/>
          <w:color w:val="000000"/>
          <w:kern w:val="0"/>
          <w:sz w:val="28"/>
          <w:szCs w:val="28"/>
        </w:rPr>
        <w:t>，</w:t>
      </w:r>
      <w:r w:rsidRPr="00281BE1">
        <w:rPr>
          <w:rFonts w:ascii="仿宋_GB2312" w:eastAsia="仿宋_GB2312" w:hAnsi="Times New Roman" w:cs="Times New Roman" w:hint="eastAsia"/>
          <w:color w:val="000000"/>
          <w:kern w:val="0"/>
          <w:sz w:val="28"/>
          <w:szCs w:val="28"/>
        </w:rPr>
        <w:t>连续7年（2011-2017）在复旦医院专科声誉排行榜中排名第四（综合性医院中排名第一），2017年中国医院科技影响力排行榜中居胸外科专业第三名。</w:t>
      </w:r>
    </w:p>
    <w:p w:rsidR="00557899" w:rsidRPr="00281BE1" w:rsidRDefault="00557899" w:rsidP="00281BE1">
      <w:pPr>
        <w:widowControl/>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全科室医疗团队有高级职称11人，博士生导师4人、硕士生导师</w:t>
      </w:r>
      <w:r w:rsidR="000C0FD8" w:rsidRPr="00281BE1">
        <w:rPr>
          <w:rFonts w:ascii="仿宋_GB2312" w:eastAsia="仿宋_GB2312" w:hAnsi="Times New Roman" w:cs="Times New Roman" w:hint="eastAsia"/>
          <w:color w:val="000000"/>
          <w:kern w:val="0"/>
          <w:sz w:val="28"/>
          <w:szCs w:val="28"/>
        </w:rPr>
        <w:t>8</w:t>
      </w:r>
      <w:r w:rsidRPr="00281BE1">
        <w:rPr>
          <w:rFonts w:ascii="仿宋_GB2312" w:eastAsia="仿宋_GB2312" w:hAnsi="Times New Roman" w:cs="Times New Roman" w:hint="eastAsia"/>
          <w:color w:val="000000"/>
          <w:kern w:val="0"/>
          <w:sz w:val="28"/>
          <w:szCs w:val="28"/>
        </w:rPr>
        <w:t>人，临床医师中80%具有博士学位。学科带头人刘伦旭教授、陈龙奇教授、车国卫教授等在国内外具有较大学术影响力，刘伦旭教授担任中国医师协会胸外科医师分会副会长、中华医学会胸心血管外科学分</w:t>
      </w:r>
      <w:r w:rsidRPr="00281BE1">
        <w:rPr>
          <w:rFonts w:ascii="仿宋_GB2312" w:eastAsia="仿宋_GB2312" w:hAnsi="Times New Roman" w:cs="Times New Roman" w:hint="eastAsia"/>
          <w:kern w:val="0"/>
          <w:sz w:val="28"/>
          <w:szCs w:val="28"/>
          <w:lang w:val="zh-CN"/>
        </w:rPr>
        <w:t>会常委、英国皇家外科学院Fellow、美国AATS Member等学术任职，陈龙奇教授参与了国际食管癌TNM分期的制定。</w:t>
      </w:r>
    </w:p>
    <w:p w:rsidR="00557899" w:rsidRPr="00281BE1" w:rsidRDefault="00557899" w:rsidP="00281BE1">
      <w:pPr>
        <w:widowControl/>
        <w:spacing w:line="360" w:lineRule="auto"/>
        <w:ind w:firstLineChars="200" w:firstLine="560"/>
        <w:rPr>
          <w:rFonts w:ascii="仿宋_GB2312" w:eastAsia="仿宋_GB2312" w:hAnsi="Times New Roman" w:cs="Times New Roman" w:hint="eastAsia"/>
          <w:kern w:val="0"/>
          <w:sz w:val="28"/>
          <w:szCs w:val="28"/>
          <w:lang w:val="zh-CN"/>
        </w:rPr>
      </w:pPr>
      <w:r w:rsidRPr="00281BE1">
        <w:rPr>
          <w:rFonts w:ascii="仿宋_GB2312" w:eastAsia="仿宋_GB2312" w:hAnsi="Times New Roman" w:cs="Times New Roman" w:hint="eastAsia"/>
          <w:color w:val="000000"/>
          <w:kern w:val="0"/>
          <w:sz w:val="28"/>
          <w:szCs w:val="28"/>
        </w:rPr>
        <w:t>科室在肺及食管外科、微创、加速康复等领域均居国内领先水平，以</w:t>
      </w:r>
      <w:r w:rsidRPr="00281BE1">
        <w:rPr>
          <w:rFonts w:ascii="仿宋_GB2312" w:eastAsia="仿宋_GB2312" w:hAnsi="Times New Roman" w:cs="Times New Roman" w:hint="eastAsia"/>
          <w:kern w:val="0"/>
          <w:sz w:val="28"/>
          <w:szCs w:val="28"/>
          <w:lang w:val="zh-CN"/>
        </w:rPr>
        <w:t>“微创”及“快速康复”为核心发展方向，形成了微创胸外科、肺外科、食管外科、纵隔外科、加速康复、肺移植、胸壁外科、创伤等不同亚专业，学科设置齐全。早在</w:t>
      </w:r>
      <w:r w:rsidRPr="00281BE1">
        <w:rPr>
          <w:rFonts w:ascii="仿宋_GB2312" w:eastAsia="仿宋_GB2312" w:hAnsi="Times New Roman" w:cs="Times New Roman" w:hint="eastAsia"/>
          <w:color w:val="000000"/>
          <w:kern w:val="0"/>
          <w:sz w:val="28"/>
          <w:szCs w:val="28"/>
        </w:rPr>
        <w:t>20世纪80年代便率先在国内开展上腔静脉置换、体外循环下肺动脉主干/主动脉部分切除等高难度手术治疗局部晚期肺癌，开创食管分层吻合技术显著减少了术后吻合口瘘。近10余年，胸外科进入微创时代，我科是国内率先开展全胸腔</w:t>
      </w:r>
      <w:r w:rsidRPr="00281BE1">
        <w:rPr>
          <w:rFonts w:ascii="仿宋_GB2312" w:eastAsia="仿宋_GB2312" w:hAnsi="Times New Roman" w:cs="Times New Roman" w:hint="eastAsia"/>
          <w:color w:val="000000"/>
          <w:kern w:val="0"/>
          <w:sz w:val="28"/>
          <w:szCs w:val="28"/>
        </w:rPr>
        <w:lastRenderedPageBreak/>
        <w:t>镜肺癌切除术的单位之一，刘伦旭教授团队首创“单向式胸腔镜肺叶切除术”等一系列微创肺手术技术，引领了我国微创肺外科发展，并率先在国际上成功开展全胸腔镜支气管肺动脉双袖式成形中央型肺癌切除术等高难度手术；在国内率先成功开展非体外循环下双肺序贯移植术。</w:t>
      </w:r>
      <w:r w:rsidRPr="00281BE1">
        <w:rPr>
          <w:rFonts w:ascii="仿宋_GB2312" w:eastAsia="仿宋_GB2312" w:hAnsi="Times New Roman" w:cs="Times New Roman" w:hint="eastAsia"/>
          <w:kern w:val="0"/>
          <w:sz w:val="28"/>
          <w:szCs w:val="28"/>
          <w:lang w:val="zh-CN"/>
        </w:rPr>
        <w:t>全科目前核定床位149（本部114、分院35）张，ICU床位4张，年门诊量27000余人次，年手术逾4000例，为教学提供了丰富的临床资源及雄厚的技术储备。</w:t>
      </w:r>
    </w:p>
    <w:p w:rsidR="00557899" w:rsidRPr="00281BE1" w:rsidRDefault="00557899" w:rsidP="00281BE1">
      <w:pPr>
        <w:widowControl/>
        <w:spacing w:line="360" w:lineRule="auto"/>
        <w:ind w:firstLineChars="200" w:firstLine="560"/>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教学及科研方面，科室有良好的氛围，大力支持和推动教学、科研平台建设，支撑学科持续发展，建立了健全的临床数据库及组织标本库，由专职科研人员进行数据库维护及患者随访，肺癌数据库及标本库纳入病例近万名、组织标本3000余例；胸外科研究室有3名专职科研人员负责基础科研指导及实施。科室近年来获国家自然基金、省部级科研项目等共56项，累计科研经费近1500万元，目前年发表SCI论文约40篇，中文论文30余篇，还先后获四川省科技进步一等奖、中华医学科技奖一等奖及中国抗癌协会科技进步三等奖等科技奖励，刘伦旭教授指导研究生参与20</w:t>
      </w:r>
      <w:r w:rsidR="000C0FD8" w:rsidRPr="00281BE1">
        <w:rPr>
          <w:rFonts w:ascii="仿宋_GB2312" w:eastAsia="仿宋_GB2312" w:hAnsi="Times New Roman" w:cs="Times New Roman" w:hint="eastAsia"/>
          <w:color w:val="000000"/>
          <w:kern w:val="0"/>
          <w:sz w:val="28"/>
          <w:szCs w:val="28"/>
        </w:rPr>
        <w:t>1</w:t>
      </w:r>
      <w:r w:rsidRPr="00281BE1">
        <w:rPr>
          <w:rFonts w:ascii="仿宋_GB2312" w:eastAsia="仿宋_GB2312" w:hAnsi="Times New Roman" w:cs="Times New Roman" w:hint="eastAsia"/>
          <w:color w:val="000000"/>
          <w:kern w:val="0"/>
          <w:sz w:val="28"/>
          <w:szCs w:val="28"/>
        </w:rPr>
        <w:t>7年全国大学生创新创业大赛并获金奖。数十年来为全国各地培养胸外医师500多名，毕业博士后2人、博士研究生40余人、硕士研究生70余人。</w:t>
      </w:r>
    </w:p>
    <w:p w:rsidR="00557899" w:rsidRPr="00281BE1" w:rsidRDefault="00557899" w:rsidP="00DC71D6">
      <w:pPr>
        <w:widowControl/>
        <w:shd w:val="clear" w:color="auto" w:fill="FFFFFF"/>
        <w:spacing w:line="360" w:lineRule="auto"/>
        <w:jc w:val="left"/>
        <w:rPr>
          <w:rFonts w:ascii="仿宋_GB2312" w:eastAsia="仿宋_GB2312" w:hAnsi="仿宋" w:cs="宋体" w:hint="eastAsia"/>
          <w:color w:val="333333"/>
          <w:kern w:val="0"/>
          <w:sz w:val="28"/>
          <w:szCs w:val="28"/>
          <w:bdr w:val="none" w:sz="0" w:space="0" w:color="auto" w:frame="1"/>
        </w:rPr>
      </w:pPr>
      <w:r w:rsidRPr="00281BE1">
        <w:rPr>
          <w:rFonts w:ascii="仿宋_GB2312" w:eastAsia="仿宋_GB2312" w:hAnsi="仿宋" w:cs="宋体" w:hint="eastAsia"/>
          <w:color w:val="333333"/>
          <w:kern w:val="0"/>
          <w:sz w:val="28"/>
          <w:szCs w:val="28"/>
          <w:bdr w:val="none" w:sz="0" w:space="0" w:color="auto" w:frame="1"/>
        </w:rPr>
        <w:t>2.科室现有专业组、师资情况</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科室管理小组成员：</w:t>
      </w:r>
    </w:p>
    <w:p w:rsidR="00557899" w:rsidRPr="00281BE1" w:rsidRDefault="00557899"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主任：陈龙奇教授</w:t>
      </w:r>
    </w:p>
    <w:p w:rsidR="00557899" w:rsidRPr="00281BE1" w:rsidRDefault="00557899"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医疗副主任兼书记：车国卫教授</w:t>
      </w:r>
    </w:p>
    <w:p w:rsidR="00557899" w:rsidRPr="00281BE1" w:rsidRDefault="00557899"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教学及科研副主任：梅建东讲师</w:t>
      </w:r>
    </w:p>
    <w:p w:rsidR="00557899" w:rsidRPr="00281BE1" w:rsidRDefault="00557899"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护士长：杨梅副主任护师</w:t>
      </w:r>
    </w:p>
    <w:p w:rsidR="00557899" w:rsidRPr="00281BE1" w:rsidRDefault="00557899"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副护士长：林琳主管护师</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医疗组及主攻专业方向：共有本部9个、上锦2个</w:t>
      </w:r>
      <w:r w:rsidR="00747940" w:rsidRPr="00281BE1">
        <w:rPr>
          <w:rFonts w:ascii="仿宋_GB2312" w:eastAsia="仿宋_GB2312" w:hAnsi="Times New Roman" w:cs="Times New Roman" w:hint="eastAsia"/>
          <w:color w:val="000000"/>
          <w:kern w:val="0"/>
          <w:sz w:val="28"/>
          <w:szCs w:val="28"/>
        </w:rPr>
        <w:t>医疗组</w:t>
      </w:r>
    </w:p>
    <w:p w:rsidR="00557899" w:rsidRPr="00281BE1" w:rsidRDefault="000C0FD8"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刘伦旭教授：肺</w:t>
      </w:r>
      <w:r w:rsidR="00557899" w:rsidRPr="00281BE1">
        <w:rPr>
          <w:rFonts w:ascii="仿宋_GB2312" w:eastAsia="仿宋_GB2312" w:hAnsi="Times New Roman" w:cs="Times New Roman" w:hint="eastAsia"/>
          <w:color w:val="000000"/>
          <w:kern w:val="0"/>
          <w:sz w:val="28"/>
          <w:szCs w:val="28"/>
        </w:rPr>
        <w:t>外科、微创肺及纵隔外科</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陈龙奇教授：食管外科</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车国卫教授：微创肺外科、加速康复外科（ERAS）</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王允教授：纵隔外科、微创胸外科（包括机器人手术）</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林一丹教授：创伤、微创胸外科（包括机器人手术）</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寇瑛</w:t>
      </w:r>
      <w:r w:rsidRPr="00281BE1">
        <w:rPr>
          <w:rFonts w:ascii="仿宋_GB2312" w:eastAsia="宋体" w:hAnsi="Times New Roman" w:cs="Times New Roman" w:hint="eastAsia"/>
          <w:color w:val="000000"/>
          <w:kern w:val="0"/>
          <w:sz w:val="28"/>
          <w:szCs w:val="28"/>
        </w:rPr>
        <w:t>琍</w:t>
      </w:r>
      <w:r w:rsidRPr="00281BE1">
        <w:rPr>
          <w:rFonts w:ascii="仿宋_GB2312" w:eastAsia="仿宋_GB2312" w:hAnsi="Times New Roman" w:cs="Times New Roman" w:hint="eastAsia"/>
          <w:color w:val="000000"/>
          <w:kern w:val="0"/>
          <w:sz w:val="28"/>
          <w:szCs w:val="28"/>
        </w:rPr>
        <w:t>副教授：胸壁外科、微创胸外科</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蒲强副主任医师：微创肺及纵隔外科</w:t>
      </w:r>
      <w:r w:rsidR="00A61C4C" w:rsidRPr="00281BE1">
        <w:rPr>
          <w:rFonts w:ascii="仿宋_GB2312" w:eastAsia="仿宋_GB2312" w:hAnsi="Times New Roman" w:cs="Times New Roman" w:hint="eastAsia"/>
          <w:color w:val="000000"/>
          <w:kern w:val="0"/>
          <w:sz w:val="28"/>
          <w:szCs w:val="28"/>
        </w:rPr>
        <w:t>、肺移植</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胡杨副主任医师：微创食管外科</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袁勇副教授：微创食管外科</w:t>
      </w:r>
    </w:p>
    <w:p w:rsidR="00747940"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伍伫副教授</w:t>
      </w:r>
      <w:r w:rsidR="00747940" w:rsidRPr="00281BE1">
        <w:rPr>
          <w:rFonts w:ascii="仿宋_GB2312" w:eastAsia="仿宋_GB2312" w:hAnsi="Times New Roman" w:cs="Times New Roman" w:hint="eastAsia"/>
          <w:color w:val="000000"/>
          <w:kern w:val="0"/>
          <w:sz w:val="28"/>
          <w:szCs w:val="28"/>
        </w:rPr>
        <w:t>（上锦）：胸外科</w:t>
      </w:r>
    </w:p>
    <w:p w:rsidR="00557899" w:rsidRPr="00281BE1" w:rsidRDefault="00557899" w:rsidP="00DC71D6">
      <w:pPr>
        <w:tabs>
          <w:tab w:val="num" w:pos="720"/>
        </w:tabs>
        <w:spacing w:line="360" w:lineRule="auto"/>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马林主治医师</w:t>
      </w:r>
      <w:r w:rsidR="00747940" w:rsidRPr="00281BE1">
        <w:rPr>
          <w:rFonts w:ascii="仿宋_GB2312" w:eastAsia="仿宋_GB2312" w:hAnsi="Times New Roman" w:cs="Times New Roman" w:hint="eastAsia"/>
          <w:color w:val="000000"/>
          <w:kern w:val="0"/>
          <w:sz w:val="28"/>
          <w:szCs w:val="28"/>
        </w:rPr>
        <w:t>（上锦）：微创胸外科</w:t>
      </w:r>
    </w:p>
    <w:p w:rsidR="00557899" w:rsidRPr="00281BE1" w:rsidRDefault="00557899" w:rsidP="00DC71D6">
      <w:pPr>
        <w:widowControl/>
        <w:shd w:val="clear" w:color="auto" w:fill="FFFFFF"/>
        <w:spacing w:line="360" w:lineRule="auto"/>
        <w:jc w:val="left"/>
        <w:rPr>
          <w:rFonts w:ascii="仿宋_GB2312" w:eastAsia="仿宋_GB2312" w:hAnsi="Times New Roman" w:cs="Times New Roman" w:hint="eastAsia"/>
          <w:color w:val="000000"/>
          <w:kern w:val="0"/>
          <w:sz w:val="28"/>
          <w:szCs w:val="28"/>
        </w:rPr>
      </w:pPr>
    </w:p>
    <w:p w:rsidR="00557899" w:rsidRPr="00281BE1" w:rsidRDefault="00557899" w:rsidP="00DC71D6">
      <w:pPr>
        <w:pStyle w:val="a3"/>
        <w:widowControl/>
        <w:numPr>
          <w:ilvl w:val="0"/>
          <w:numId w:val="1"/>
        </w:numPr>
        <w:shd w:val="clear" w:color="auto" w:fill="FFFFFF"/>
        <w:spacing w:line="360" w:lineRule="auto"/>
        <w:ind w:firstLineChars="0"/>
        <w:jc w:val="left"/>
        <w:rPr>
          <w:rFonts w:ascii="仿宋_GB2312" w:eastAsia="仿宋_GB2312" w:hAnsi="仿宋" w:cs="宋体" w:hint="eastAsia"/>
          <w:b/>
          <w:bCs/>
          <w:color w:val="333333"/>
          <w:kern w:val="0"/>
          <w:sz w:val="28"/>
          <w:szCs w:val="28"/>
        </w:rPr>
      </w:pPr>
      <w:r w:rsidRPr="00281BE1">
        <w:rPr>
          <w:rFonts w:ascii="仿宋_GB2312" w:eastAsia="仿宋_GB2312" w:hAnsi="仿宋" w:cs="宋体" w:hint="eastAsia"/>
          <w:b/>
          <w:bCs/>
          <w:color w:val="333333"/>
          <w:kern w:val="0"/>
          <w:sz w:val="28"/>
          <w:szCs w:val="28"/>
        </w:rPr>
        <w:t>进修专业简介</w:t>
      </w:r>
    </w:p>
    <w:p w:rsidR="00557899" w:rsidRPr="00281BE1" w:rsidRDefault="00557899" w:rsidP="00DC71D6">
      <w:pPr>
        <w:widowControl/>
        <w:shd w:val="clear" w:color="auto" w:fill="FFFFFF"/>
        <w:spacing w:line="360" w:lineRule="auto"/>
        <w:jc w:val="left"/>
        <w:rPr>
          <w:rFonts w:ascii="仿宋_GB2312" w:eastAsia="仿宋_GB2312" w:hAnsi="仿宋" w:cs="宋体" w:hint="eastAsia"/>
          <w:b/>
          <w:bCs/>
          <w:color w:val="333333"/>
          <w:kern w:val="0"/>
          <w:sz w:val="28"/>
          <w:szCs w:val="28"/>
          <w:bdr w:val="none" w:sz="0" w:space="0" w:color="auto" w:frame="1"/>
        </w:rPr>
      </w:pPr>
      <w:r w:rsidRPr="00281BE1">
        <w:rPr>
          <w:rFonts w:ascii="仿宋_GB2312" w:eastAsia="仿宋_GB2312" w:hAnsi="仿宋" w:cs="宋体" w:hint="eastAsia"/>
          <w:b/>
          <w:bCs/>
          <w:color w:val="333333"/>
          <w:kern w:val="0"/>
          <w:sz w:val="28"/>
          <w:szCs w:val="28"/>
          <w:bdr w:val="none" w:sz="0" w:space="0" w:color="auto" w:frame="1"/>
        </w:rPr>
        <w:t>1.进修方向（亚专业及项目介绍）</w:t>
      </w:r>
    </w:p>
    <w:p w:rsidR="00A61C4C" w:rsidRPr="00281BE1" w:rsidRDefault="007932EB"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胸外科学相关亚专业（肺外科、食管外科、纵隔外科、胸壁外科、ERAS、微创胸外科</w:t>
      </w:r>
      <w:r w:rsidR="00A61C4C" w:rsidRPr="00281BE1">
        <w:rPr>
          <w:rFonts w:ascii="仿宋_GB2312" w:eastAsia="仿宋_GB2312" w:hAnsi="Times New Roman" w:cs="Times New Roman" w:hint="eastAsia"/>
          <w:color w:val="000000"/>
          <w:kern w:val="0"/>
          <w:sz w:val="28"/>
          <w:szCs w:val="28"/>
        </w:rPr>
        <w:t>、肺移植等</w:t>
      </w:r>
      <w:r w:rsidRPr="00281BE1">
        <w:rPr>
          <w:rFonts w:ascii="仿宋_GB2312" w:eastAsia="仿宋_GB2312" w:hAnsi="Times New Roman" w:cs="Times New Roman" w:hint="eastAsia"/>
          <w:color w:val="000000"/>
          <w:kern w:val="0"/>
          <w:sz w:val="28"/>
          <w:szCs w:val="28"/>
        </w:rPr>
        <w:t>）</w:t>
      </w:r>
    </w:p>
    <w:p w:rsidR="00A61C4C" w:rsidRPr="00281BE1" w:rsidRDefault="00A61C4C" w:rsidP="00281BE1">
      <w:pPr>
        <w:tabs>
          <w:tab w:val="num" w:pos="720"/>
        </w:tabs>
        <w:spacing w:line="360" w:lineRule="auto"/>
        <w:ind w:firstLineChars="200" w:firstLine="56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项目介绍：华西医院胸外科临床业务覆盖了胸外科所有疾病的外科治疗，</w:t>
      </w:r>
      <w:r w:rsidR="00D82C6B" w:rsidRPr="00281BE1">
        <w:rPr>
          <w:rFonts w:ascii="仿宋_GB2312" w:eastAsia="仿宋_GB2312" w:hAnsi="Times New Roman" w:cs="Times New Roman" w:hint="eastAsia"/>
          <w:color w:val="000000"/>
          <w:kern w:val="0"/>
          <w:sz w:val="28"/>
          <w:szCs w:val="28"/>
        </w:rPr>
        <w:t>尤其</w:t>
      </w:r>
      <w:r w:rsidRPr="00281BE1">
        <w:rPr>
          <w:rFonts w:ascii="仿宋_GB2312" w:eastAsia="仿宋_GB2312" w:hAnsi="Times New Roman" w:cs="Times New Roman" w:hint="eastAsia"/>
          <w:color w:val="000000"/>
          <w:kern w:val="0"/>
          <w:sz w:val="28"/>
          <w:szCs w:val="28"/>
        </w:rPr>
        <w:t>在微创外科、ERAS及规范化诊疗方面独具特色及优势，</w:t>
      </w:r>
      <w:r w:rsidRPr="00281BE1">
        <w:rPr>
          <w:rFonts w:ascii="仿宋_GB2312" w:eastAsia="仿宋_GB2312" w:hAnsi="Times New Roman" w:cs="Times New Roman" w:hint="eastAsia"/>
          <w:color w:val="000000"/>
          <w:kern w:val="0"/>
          <w:sz w:val="28"/>
          <w:szCs w:val="28"/>
        </w:rPr>
        <w:lastRenderedPageBreak/>
        <w:t>科室各医疗组长均有亚专业研究方向，且各亚专业在全国均处于领先地位，可满足学员对不同亚专业学习的需求</w:t>
      </w:r>
      <w:r w:rsidR="00D82C6B" w:rsidRPr="00281BE1">
        <w:rPr>
          <w:rFonts w:ascii="仿宋_GB2312" w:eastAsia="仿宋_GB2312" w:hAnsi="Times New Roman" w:cs="Times New Roman" w:hint="eastAsia"/>
          <w:color w:val="000000"/>
          <w:kern w:val="0"/>
          <w:sz w:val="28"/>
          <w:szCs w:val="28"/>
        </w:rPr>
        <w:t>；科室牵头或参与多项临床研究，在临床研究方面具有丰富经验及资源；科室建有完备的临床病种数据库及生物标本库，建有专用基础实验研究室，基础研究与临床紧密结合，在转化医学方面也硕果累累。可为学员提供从临床到基础再到转化的系统培训。</w:t>
      </w:r>
    </w:p>
    <w:p w:rsidR="00557899" w:rsidRPr="00281BE1" w:rsidRDefault="00557899" w:rsidP="00DC71D6">
      <w:pPr>
        <w:widowControl/>
        <w:shd w:val="clear" w:color="auto" w:fill="FFFFFF"/>
        <w:spacing w:line="360"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仿宋" w:cs="宋体" w:hint="eastAsia"/>
          <w:b/>
          <w:bCs/>
          <w:color w:val="333333"/>
          <w:kern w:val="0"/>
          <w:sz w:val="28"/>
          <w:szCs w:val="28"/>
          <w:bdr w:val="none" w:sz="0" w:space="0" w:color="auto" w:frame="1"/>
        </w:rPr>
        <w:t>2.招生时间及进修期限：</w:t>
      </w:r>
      <w:r w:rsidRPr="00281BE1">
        <w:rPr>
          <w:rFonts w:ascii="仿宋_GB2312" w:eastAsia="仿宋_GB2312" w:hAnsi="Times New Roman" w:cs="Times New Roman" w:hint="eastAsia"/>
          <w:color w:val="000000"/>
          <w:kern w:val="0"/>
          <w:sz w:val="28"/>
          <w:szCs w:val="28"/>
        </w:rPr>
        <w:t>每年春、秋季招录进修生两次，进修期限一般为半年或一年。招生时间一般定在入学的前两月，即春季（3月初）入学者，1月份录取；秋季（9月初）入学者，7月</w:t>
      </w:r>
      <w:r w:rsidR="000C0FD8" w:rsidRPr="00281BE1">
        <w:rPr>
          <w:rFonts w:ascii="仿宋_GB2312" w:eastAsia="仿宋_GB2312" w:hAnsi="Times New Roman" w:cs="Times New Roman" w:hint="eastAsia"/>
          <w:color w:val="000000"/>
          <w:kern w:val="0"/>
          <w:sz w:val="28"/>
          <w:szCs w:val="28"/>
        </w:rPr>
        <w:t>份</w:t>
      </w:r>
      <w:r w:rsidRPr="00281BE1">
        <w:rPr>
          <w:rFonts w:ascii="仿宋_GB2312" w:eastAsia="仿宋_GB2312" w:hAnsi="Times New Roman" w:cs="Times New Roman" w:hint="eastAsia"/>
          <w:color w:val="000000"/>
          <w:kern w:val="0"/>
          <w:sz w:val="28"/>
          <w:szCs w:val="28"/>
        </w:rPr>
        <w:t>录取。</w:t>
      </w:r>
    </w:p>
    <w:p w:rsidR="00557899" w:rsidRPr="00281BE1" w:rsidRDefault="00557899" w:rsidP="00DC71D6">
      <w:pPr>
        <w:widowControl/>
        <w:shd w:val="clear" w:color="auto" w:fill="FFFFFF"/>
        <w:spacing w:line="360" w:lineRule="auto"/>
        <w:jc w:val="left"/>
        <w:rPr>
          <w:rFonts w:ascii="仿宋_GB2312" w:eastAsia="仿宋_GB2312" w:hAnsi="仿宋" w:cs="宋体" w:hint="eastAsia"/>
          <w:b/>
          <w:color w:val="333333"/>
          <w:kern w:val="0"/>
          <w:sz w:val="28"/>
          <w:szCs w:val="28"/>
          <w:bdr w:val="none" w:sz="0" w:space="0" w:color="auto" w:frame="1"/>
        </w:rPr>
      </w:pPr>
      <w:r w:rsidRPr="00281BE1">
        <w:rPr>
          <w:rFonts w:ascii="仿宋_GB2312" w:eastAsia="仿宋_GB2312" w:hAnsi="仿宋" w:cs="宋体" w:hint="eastAsia"/>
          <w:b/>
          <w:color w:val="333333"/>
          <w:kern w:val="0"/>
          <w:sz w:val="28"/>
          <w:szCs w:val="28"/>
          <w:bdr w:val="none" w:sz="0" w:space="0" w:color="auto" w:frame="1"/>
        </w:rPr>
        <w:t>附：各专业进修期限安排表</w:t>
      </w:r>
    </w:p>
    <w:tbl>
      <w:tblPr>
        <w:tblStyle w:val="a4"/>
        <w:tblW w:w="8500" w:type="dxa"/>
        <w:tblLook w:val="04A0"/>
      </w:tblPr>
      <w:tblGrid>
        <w:gridCol w:w="2689"/>
        <w:gridCol w:w="2693"/>
        <w:gridCol w:w="3118"/>
      </w:tblGrid>
      <w:tr w:rsidR="00557899" w:rsidRPr="00281BE1" w:rsidTr="00557899">
        <w:tc>
          <w:tcPr>
            <w:tcW w:w="2689"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center"/>
              <w:rPr>
                <w:rFonts w:ascii="仿宋_GB2312" w:eastAsia="仿宋_GB2312" w:hAnsi="仿宋" w:cs="宋体" w:hint="eastAsia"/>
                <w:b/>
                <w:color w:val="333333"/>
                <w:kern w:val="0"/>
                <w:sz w:val="28"/>
                <w:szCs w:val="28"/>
                <w:bdr w:val="none" w:sz="0" w:space="0" w:color="auto" w:frame="1"/>
              </w:rPr>
            </w:pPr>
            <w:r w:rsidRPr="00281BE1">
              <w:rPr>
                <w:rFonts w:ascii="仿宋_GB2312" w:eastAsia="仿宋_GB2312" w:hAnsi="仿宋" w:cs="宋体" w:hint="eastAsia"/>
                <w:b/>
                <w:color w:val="333333"/>
                <w:kern w:val="0"/>
                <w:sz w:val="28"/>
                <w:szCs w:val="28"/>
                <w:bdr w:val="none" w:sz="0" w:space="0" w:color="auto" w:frame="1"/>
              </w:rPr>
              <w:t>进修专业</w:t>
            </w:r>
          </w:p>
        </w:tc>
        <w:tc>
          <w:tcPr>
            <w:tcW w:w="2693"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center"/>
              <w:rPr>
                <w:rFonts w:ascii="仿宋_GB2312" w:eastAsia="仿宋_GB2312" w:hAnsi="仿宋" w:cs="宋体" w:hint="eastAsia"/>
                <w:b/>
                <w:color w:val="333333"/>
                <w:kern w:val="0"/>
                <w:sz w:val="28"/>
                <w:szCs w:val="28"/>
                <w:bdr w:val="none" w:sz="0" w:space="0" w:color="auto" w:frame="1"/>
              </w:rPr>
            </w:pPr>
            <w:r w:rsidRPr="00281BE1">
              <w:rPr>
                <w:rFonts w:ascii="仿宋_GB2312" w:eastAsia="仿宋_GB2312" w:hAnsi="仿宋" w:cs="宋体" w:hint="eastAsia"/>
                <w:b/>
                <w:color w:val="333333"/>
                <w:kern w:val="0"/>
                <w:sz w:val="28"/>
                <w:szCs w:val="28"/>
                <w:bdr w:val="none" w:sz="0" w:space="0" w:color="auto" w:frame="1"/>
              </w:rPr>
              <w:t>进修期限</w:t>
            </w:r>
          </w:p>
        </w:tc>
        <w:tc>
          <w:tcPr>
            <w:tcW w:w="3118"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center"/>
              <w:rPr>
                <w:rFonts w:ascii="仿宋_GB2312" w:eastAsia="仿宋_GB2312" w:hAnsi="仿宋" w:cs="宋体" w:hint="eastAsia"/>
                <w:b/>
                <w:color w:val="333333"/>
                <w:kern w:val="0"/>
                <w:sz w:val="28"/>
                <w:szCs w:val="28"/>
                <w:bdr w:val="none" w:sz="0" w:space="0" w:color="auto" w:frame="1"/>
              </w:rPr>
            </w:pPr>
            <w:r w:rsidRPr="00281BE1">
              <w:rPr>
                <w:rFonts w:ascii="仿宋_GB2312" w:eastAsia="仿宋_GB2312" w:hAnsi="仿宋" w:cs="宋体" w:hint="eastAsia"/>
                <w:b/>
                <w:color w:val="333333"/>
                <w:kern w:val="0"/>
                <w:sz w:val="28"/>
                <w:szCs w:val="28"/>
                <w:bdr w:val="none" w:sz="0" w:space="0" w:color="auto" w:frame="1"/>
              </w:rPr>
              <w:t>每一年度招录人数</w:t>
            </w:r>
          </w:p>
        </w:tc>
      </w:tr>
      <w:tr w:rsidR="00557899" w:rsidRPr="00281BE1" w:rsidTr="00557899">
        <w:tc>
          <w:tcPr>
            <w:tcW w:w="2689" w:type="dxa"/>
            <w:tcBorders>
              <w:top w:val="single" w:sz="4" w:space="0" w:color="auto"/>
              <w:left w:val="single" w:sz="4" w:space="0" w:color="auto"/>
              <w:bottom w:val="single" w:sz="4" w:space="0" w:color="auto"/>
              <w:right w:val="single" w:sz="4" w:space="0" w:color="auto"/>
            </w:tcBorders>
          </w:tcPr>
          <w:p w:rsidR="00557899" w:rsidRPr="00281BE1" w:rsidRDefault="00D82C6B" w:rsidP="00DC71D6">
            <w:pPr>
              <w:widowControl/>
              <w:spacing w:line="360" w:lineRule="auto"/>
              <w:jc w:val="center"/>
              <w:rPr>
                <w:rFonts w:ascii="仿宋_GB2312" w:eastAsia="仿宋_GB2312" w:hAnsi="仿宋" w:cs="宋体" w:hint="eastAsia"/>
                <w:color w:val="333333"/>
                <w:kern w:val="0"/>
                <w:sz w:val="28"/>
                <w:szCs w:val="28"/>
                <w:bdr w:val="none" w:sz="0" w:space="0" w:color="auto" w:frame="1"/>
              </w:rPr>
            </w:pPr>
            <w:r w:rsidRPr="00281BE1">
              <w:rPr>
                <w:rFonts w:ascii="仿宋_GB2312" w:eastAsia="仿宋_GB2312" w:hAnsi="仿宋" w:cs="宋体" w:hint="eastAsia"/>
                <w:color w:val="333333"/>
                <w:kern w:val="0"/>
                <w:sz w:val="28"/>
                <w:szCs w:val="28"/>
                <w:bdr w:val="none" w:sz="0" w:space="0" w:color="auto" w:frame="1"/>
              </w:rPr>
              <w:t>胸外科</w:t>
            </w:r>
          </w:p>
        </w:tc>
        <w:tc>
          <w:tcPr>
            <w:tcW w:w="2693" w:type="dxa"/>
            <w:tcBorders>
              <w:top w:val="single" w:sz="4" w:space="0" w:color="auto"/>
              <w:left w:val="single" w:sz="4" w:space="0" w:color="auto"/>
              <w:bottom w:val="single" w:sz="4" w:space="0" w:color="auto"/>
              <w:right w:val="single" w:sz="4" w:space="0" w:color="auto"/>
            </w:tcBorders>
          </w:tcPr>
          <w:p w:rsidR="00557899" w:rsidRPr="00281BE1" w:rsidRDefault="0031046F" w:rsidP="00DC71D6">
            <w:pPr>
              <w:widowControl/>
              <w:spacing w:line="360" w:lineRule="auto"/>
              <w:jc w:val="center"/>
              <w:rPr>
                <w:rFonts w:ascii="仿宋_GB2312" w:eastAsia="仿宋_GB2312" w:hAnsi="仿宋" w:cs="宋体" w:hint="eastAsia"/>
                <w:color w:val="333333"/>
                <w:kern w:val="0"/>
                <w:sz w:val="28"/>
                <w:szCs w:val="28"/>
                <w:bdr w:val="none" w:sz="0" w:space="0" w:color="auto" w:frame="1"/>
              </w:rPr>
            </w:pPr>
            <w:r w:rsidRPr="00281BE1">
              <w:rPr>
                <w:rFonts w:ascii="仿宋_GB2312" w:eastAsia="仿宋_GB2312" w:hAnsi="仿宋" w:cs="宋体" w:hint="eastAsia"/>
                <w:color w:val="333333"/>
                <w:kern w:val="0"/>
                <w:sz w:val="28"/>
                <w:szCs w:val="28"/>
                <w:bdr w:val="none" w:sz="0" w:space="0" w:color="auto" w:frame="1"/>
              </w:rPr>
              <w:t>6</w:t>
            </w:r>
            <w:r w:rsidR="00281BE1">
              <w:rPr>
                <w:rFonts w:ascii="仿宋_GB2312" w:eastAsia="仿宋_GB2312" w:hAnsi="仿宋" w:cs="宋体" w:hint="eastAsia"/>
                <w:color w:val="333333"/>
                <w:kern w:val="0"/>
                <w:sz w:val="28"/>
                <w:szCs w:val="28"/>
                <w:bdr w:val="none" w:sz="0" w:space="0" w:color="auto" w:frame="1"/>
              </w:rPr>
              <w:t>月、</w:t>
            </w:r>
            <w:r w:rsidR="00D82C6B" w:rsidRPr="00281BE1">
              <w:rPr>
                <w:rFonts w:ascii="仿宋_GB2312" w:eastAsia="仿宋_GB2312" w:hAnsi="仿宋" w:cs="宋体" w:hint="eastAsia"/>
                <w:color w:val="333333"/>
                <w:kern w:val="0"/>
                <w:sz w:val="28"/>
                <w:szCs w:val="28"/>
                <w:bdr w:val="none" w:sz="0" w:space="0" w:color="auto" w:frame="1"/>
              </w:rPr>
              <w:t>12月</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99" w:rsidRPr="00281BE1" w:rsidRDefault="0031046F" w:rsidP="00DC71D6">
            <w:pPr>
              <w:widowControl/>
              <w:spacing w:line="360" w:lineRule="auto"/>
              <w:jc w:val="center"/>
              <w:rPr>
                <w:rFonts w:ascii="仿宋_GB2312" w:eastAsia="仿宋_GB2312" w:hAnsi="仿宋" w:cs="宋体" w:hint="eastAsia"/>
                <w:color w:val="333333"/>
                <w:kern w:val="0"/>
                <w:sz w:val="28"/>
                <w:szCs w:val="28"/>
                <w:bdr w:val="none" w:sz="0" w:space="0" w:color="auto" w:frame="1"/>
              </w:rPr>
            </w:pPr>
            <w:r w:rsidRPr="00281BE1">
              <w:rPr>
                <w:rFonts w:ascii="仿宋_GB2312" w:eastAsia="仿宋_GB2312" w:hAnsi="仿宋" w:cs="宋体" w:hint="eastAsia"/>
                <w:color w:val="333333"/>
                <w:kern w:val="0"/>
                <w:sz w:val="28"/>
                <w:szCs w:val="28"/>
                <w:bdr w:val="none" w:sz="0" w:space="0" w:color="auto" w:frame="1"/>
              </w:rPr>
              <w:t>≤60人次</w:t>
            </w:r>
          </w:p>
        </w:tc>
      </w:tr>
    </w:tbl>
    <w:p w:rsidR="000C0FD8" w:rsidRPr="00281BE1" w:rsidRDefault="000C0FD8" w:rsidP="000C0FD8">
      <w:pPr>
        <w:widowControl/>
        <w:shd w:val="clear" w:color="auto" w:fill="FFFFFF"/>
        <w:spacing w:line="360" w:lineRule="auto"/>
        <w:jc w:val="left"/>
        <w:rPr>
          <w:rFonts w:ascii="仿宋_GB2312" w:eastAsia="仿宋_GB2312" w:hAnsi="仿宋" w:cs="宋体" w:hint="eastAsia"/>
          <w:b/>
          <w:bCs/>
          <w:color w:val="333333"/>
          <w:kern w:val="0"/>
          <w:sz w:val="28"/>
          <w:szCs w:val="28"/>
          <w:bdr w:val="none" w:sz="0" w:space="0" w:color="auto" w:frame="1"/>
        </w:rPr>
      </w:pPr>
    </w:p>
    <w:p w:rsidR="00557899" w:rsidRPr="00281BE1" w:rsidRDefault="00557899" w:rsidP="00DC71D6">
      <w:pPr>
        <w:pStyle w:val="a3"/>
        <w:widowControl/>
        <w:numPr>
          <w:ilvl w:val="0"/>
          <w:numId w:val="1"/>
        </w:numPr>
        <w:shd w:val="clear" w:color="auto" w:fill="FFFFFF"/>
        <w:spacing w:line="360" w:lineRule="auto"/>
        <w:ind w:firstLineChars="0"/>
        <w:jc w:val="left"/>
        <w:rPr>
          <w:rFonts w:ascii="仿宋_GB2312" w:eastAsia="仿宋_GB2312" w:hAnsi="仿宋" w:cs="宋体" w:hint="eastAsia"/>
          <w:b/>
          <w:bCs/>
          <w:color w:val="333333"/>
          <w:kern w:val="0"/>
          <w:sz w:val="28"/>
          <w:szCs w:val="28"/>
          <w:bdr w:val="none" w:sz="0" w:space="0" w:color="auto" w:frame="1"/>
        </w:rPr>
      </w:pPr>
      <w:r w:rsidRPr="00281BE1">
        <w:rPr>
          <w:rFonts w:ascii="仿宋_GB2312" w:eastAsia="仿宋_GB2312" w:hAnsi="仿宋" w:cs="宋体" w:hint="eastAsia"/>
          <w:b/>
          <w:bCs/>
          <w:color w:val="333333"/>
          <w:kern w:val="0"/>
          <w:sz w:val="28"/>
          <w:szCs w:val="28"/>
          <w:bdr w:val="none" w:sz="0" w:space="0" w:color="auto" w:frame="1"/>
        </w:rPr>
        <w:t>培养方案</w:t>
      </w:r>
    </w:p>
    <w:p w:rsidR="00557899" w:rsidRPr="00281BE1" w:rsidRDefault="00557899" w:rsidP="00DC71D6">
      <w:pPr>
        <w:widowControl/>
        <w:shd w:val="clear" w:color="auto" w:fill="FFFFFF"/>
        <w:spacing w:line="360" w:lineRule="auto"/>
        <w:ind w:firstLineChars="200" w:firstLine="560"/>
        <w:jc w:val="left"/>
        <w:rPr>
          <w:rFonts w:ascii="仿宋_GB2312" w:eastAsia="仿宋_GB2312" w:hAnsi="仿宋" w:cs="宋体" w:hint="eastAsia"/>
          <w:color w:val="333333"/>
          <w:kern w:val="0"/>
          <w:sz w:val="28"/>
          <w:szCs w:val="28"/>
          <w:bdr w:val="none" w:sz="0" w:space="0" w:color="auto" w:frame="1"/>
        </w:rPr>
      </w:pPr>
      <w:r w:rsidRPr="00281BE1">
        <w:rPr>
          <w:rFonts w:ascii="仿宋_GB2312" w:eastAsia="仿宋_GB2312" w:hAnsi="仿宋" w:cs="宋体" w:hint="eastAsia"/>
          <w:bCs/>
          <w:color w:val="333333"/>
          <w:kern w:val="0"/>
          <w:sz w:val="28"/>
          <w:szCs w:val="28"/>
        </w:rPr>
        <w:t>培养方案应包括但不限于：学习内容</w:t>
      </w:r>
      <w:r w:rsidRPr="00281BE1">
        <w:rPr>
          <w:rFonts w:ascii="仿宋_GB2312" w:eastAsia="仿宋_GB2312" w:hAnsi="仿宋" w:cs="宋体" w:hint="eastAsia"/>
          <w:color w:val="333333"/>
          <w:kern w:val="0"/>
          <w:sz w:val="28"/>
          <w:szCs w:val="28"/>
          <w:bdr w:val="none" w:sz="0" w:space="0" w:color="auto" w:frame="1"/>
        </w:rPr>
        <w:t>、带教方法（例：病房轮转学习、专题讲座、疑难病案分析讨论、参加手术观摩及操作等）、结业考核方式（例：结业笔试、临床操作考核等）、进修学习后应达到的水平（各科室可根据具体情况细化）。</w:t>
      </w:r>
    </w:p>
    <w:p w:rsidR="00557899" w:rsidRPr="00281BE1" w:rsidRDefault="00557899" w:rsidP="00DC71D6">
      <w:pPr>
        <w:widowControl/>
        <w:shd w:val="clear" w:color="auto" w:fill="FFFFFF"/>
        <w:spacing w:line="360" w:lineRule="auto"/>
        <w:jc w:val="left"/>
        <w:rPr>
          <w:rFonts w:ascii="仿宋_GB2312" w:eastAsia="仿宋_GB2312" w:hAnsi="仿宋" w:cs="宋体" w:hint="eastAsia"/>
          <w:b/>
          <w:color w:val="333333"/>
          <w:kern w:val="0"/>
          <w:sz w:val="28"/>
          <w:szCs w:val="28"/>
        </w:rPr>
      </w:pPr>
      <w:r w:rsidRPr="00281BE1">
        <w:rPr>
          <w:rFonts w:ascii="仿宋_GB2312" w:eastAsia="仿宋_GB2312" w:hAnsi="仿宋" w:cs="宋体" w:hint="eastAsia"/>
          <w:b/>
          <w:color w:val="333333"/>
          <w:kern w:val="0"/>
          <w:sz w:val="28"/>
          <w:szCs w:val="28"/>
        </w:rPr>
        <w:t>附：各进修专业培养方案</w:t>
      </w:r>
    </w:p>
    <w:tbl>
      <w:tblPr>
        <w:tblStyle w:val="a4"/>
        <w:tblW w:w="8443" w:type="dxa"/>
        <w:tblInd w:w="-5" w:type="dxa"/>
        <w:tblLook w:val="04A0"/>
      </w:tblPr>
      <w:tblGrid>
        <w:gridCol w:w="1276"/>
        <w:gridCol w:w="1276"/>
        <w:gridCol w:w="1276"/>
        <w:gridCol w:w="1701"/>
        <w:gridCol w:w="2914"/>
      </w:tblGrid>
      <w:tr w:rsidR="00557899" w:rsidRPr="00281BE1" w:rsidTr="00557899">
        <w:tc>
          <w:tcPr>
            <w:tcW w:w="1276"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left"/>
              <w:rPr>
                <w:rFonts w:ascii="仿宋_GB2312" w:eastAsia="仿宋_GB2312" w:hAnsi="仿宋" w:cs="宋体" w:hint="eastAsia"/>
                <w:b/>
                <w:color w:val="333333"/>
                <w:kern w:val="0"/>
                <w:sz w:val="28"/>
                <w:szCs w:val="28"/>
              </w:rPr>
            </w:pPr>
            <w:r w:rsidRPr="00281BE1">
              <w:rPr>
                <w:rFonts w:ascii="仿宋_GB2312" w:eastAsia="仿宋_GB2312" w:hAnsi="仿宋" w:cs="宋体" w:hint="eastAsia"/>
                <w:b/>
                <w:color w:val="333333"/>
                <w:kern w:val="0"/>
                <w:sz w:val="28"/>
                <w:szCs w:val="28"/>
              </w:rPr>
              <w:t>进修专业</w:t>
            </w:r>
          </w:p>
        </w:tc>
        <w:tc>
          <w:tcPr>
            <w:tcW w:w="1276"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left"/>
              <w:rPr>
                <w:rFonts w:ascii="仿宋_GB2312" w:eastAsia="仿宋_GB2312" w:hAnsi="仿宋" w:cs="宋体" w:hint="eastAsia"/>
                <w:b/>
                <w:color w:val="333333"/>
                <w:kern w:val="0"/>
                <w:sz w:val="28"/>
                <w:szCs w:val="28"/>
              </w:rPr>
            </w:pPr>
            <w:r w:rsidRPr="00281BE1">
              <w:rPr>
                <w:rFonts w:ascii="仿宋_GB2312" w:eastAsia="仿宋_GB2312" w:hAnsi="仿宋" w:cs="宋体" w:hint="eastAsia"/>
                <w:b/>
                <w:color w:val="333333"/>
                <w:kern w:val="0"/>
                <w:sz w:val="28"/>
                <w:szCs w:val="28"/>
              </w:rPr>
              <w:t>学习内容</w:t>
            </w:r>
          </w:p>
        </w:tc>
        <w:tc>
          <w:tcPr>
            <w:tcW w:w="1276"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left"/>
              <w:rPr>
                <w:rFonts w:ascii="仿宋_GB2312" w:eastAsia="仿宋_GB2312" w:hAnsi="仿宋" w:cs="宋体" w:hint="eastAsia"/>
                <w:b/>
                <w:color w:val="333333"/>
                <w:kern w:val="0"/>
                <w:sz w:val="28"/>
                <w:szCs w:val="28"/>
              </w:rPr>
            </w:pPr>
            <w:r w:rsidRPr="00281BE1">
              <w:rPr>
                <w:rFonts w:ascii="仿宋_GB2312" w:eastAsia="仿宋_GB2312" w:hAnsi="仿宋" w:cs="宋体" w:hint="eastAsia"/>
                <w:b/>
                <w:color w:val="333333"/>
                <w:kern w:val="0"/>
                <w:sz w:val="28"/>
                <w:szCs w:val="28"/>
              </w:rPr>
              <w:t>带教方法</w:t>
            </w:r>
          </w:p>
        </w:tc>
        <w:tc>
          <w:tcPr>
            <w:tcW w:w="1701"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left"/>
              <w:rPr>
                <w:rFonts w:ascii="仿宋_GB2312" w:eastAsia="仿宋_GB2312" w:hAnsi="仿宋" w:cs="宋体" w:hint="eastAsia"/>
                <w:b/>
                <w:color w:val="333333"/>
                <w:kern w:val="0"/>
                <w:sz w:val="28"/>
                <w:szCs w:val="28"/>
              </w:rPr>
            </w:pPr>
            <w:r w:rsidRPr="00281BE1">
              <w:rPr>
                <w:rFonts w:ascii="仿宋_GB2312" w:eastAsia="仿宋_GB2312" w:hAnsi="仿宋" w:cs="宋体" w:hint="eastAsia"/>
                <w:b/>
                <w:color w:val="333333"/>
                <w:kern w:val="0"/>
                <w:sz w:val="28"/>
                <w:szCs w:val="28"/>
              </w:rPr>
              <w:t>结业考核方式</w:t>
            </w:r>
          </w:p>
        </w:tc>
        <w:tc>
          <w:tcPr>
            <w:tcW w:w="2914" w:type="dxa"/>
            <w:tcBorders>
              <w:top w:val="single" w:sz="4" w:space="0" w:color="auto"/>
              <w:left w:val="single" w:sz="4" w:space="0" w:color="auto"/>
              <w:bottom w:val="single" w:sz="4" w:space="0" w:color="auto"/>
              <w:right w:val="single" w:sz="4" w:space="0" w:color="auto"/>
            </w:tcBorders>
            <w:hideMark/>
          </w:tcPr>
          <w:p w:rsidR="00557899" w:rsidRPr="00281BE1" w:rsidRDefault="00557899" w:rsidP="00DC71D6">
            <w:pPr>
              <w:widowControl/>
              <w:spacing w:line="360" w:lineRule="auto"/>
              <w:jc w:val="left"/>
              <w:rPr>
                <w:rFonts w:ascii="仿宋_GB2312" w:eastAsia="仿宋_GB2312" w:hAnsi="仿宋" w:cs="宋体" w:hint="eastAsia"/>
                <w:b/>
                <w:color w:val="333333"/>
                <w:kern w:val="0"/>
                <w:sz w:val="28"/>
                <w:szCs w:val="28"/>
              </w:rPr>
            </w:pPr>
            <w:r w:rsidRPr="00281BE1">
              <w:rPr>
                <w:rFonts w:ascii="仿宋_GB2312" w:eastAsia="仿宋_GB2312" w:hAnsi="仿宋" w:cs="宋体" w:hint="eastAsia"/>
                <w:b/>
                <w:color w:val="333333"/>
                <w:kern w:val="0"/>
                <w:sz w:val="28"/>
                <w:szCs w:val="28"/>
              </w:rPr>
              <w:t>进修学习后应达到的水平</w:t>
            </w:r>
          </w:p>
        </w:tc>
      </w:tr>
      <w:tr w:rsidR="00557899" w:rsidRPr="00281BE1" w:rsidTr="00557899">
        <w:tc>
          <w:tcPr>
            <w:tcW w:w="1276"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肺外科</w:t>
            </w:r>
          </w:p>
        </w:tc>
        <w:tc>
          <w:tcPr>
            <w:tcW w:w="1276"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肺部相</w:t>
            </w:r>
            <w:r w:rsidRPr="00281BE1">
              <w:rPr>
                <w:rFonts w:ascii="仿宋_GB2312" w:eastAsia="仿宋_GB2312" w:hAnsi="Times New Roman" w:cs="Times New Roman" w:hint="eastAsia"/>
                <w:color w:val="000000"/>
                <w:kern w:val="0"/>
                <w:sz w:val="28"/>
                <w:szCs w:val="28"/>
              </w:rPr>
              <w:lastRenderedPageBreak/>
              <w:t>关疾病的外科诊疗</w:t>
            </w:r>
          </w:p>
        </w:tc>
        <w:tc>
          <w:tcPr>
            <w:tcW w:w="1276"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病房轮</w:t>
            </w:r>
            <w:r w:rsidRPr="00281BE1">
              <w:rPr>
                <w:rFonts w:ascii="仿宋_GB2312" w:eastAsia="仿宋_GB2312" w:hAnsi="Times New Roman" w:cs="Times New Roman" w:hint="eastAsia"/>
                <w:color w:val="000000"/>
                <w:kern w:val="0"/>
                <w:sz w:val="28"/>
                <w:szCs w:val="28"/>
              </w:rPr>
              <w:lastRenderedPageBreak/>
              <w:t>转学习、专题讲座、疑难病案分析讨论、参加手术观摩及操作等</w:t>
            </w:r>
          </w:p>
        </w:tc>
        <w:tc>
          <w:tcPr>
            <w:tcW w:w="1701"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结业笔试、</w:t>
            </w:r>
            <w:r w:rsidRPr="00281BE1">
              <w:rPr>
                <w:rFonts w:ascii="仿宋_GB2312" w:eastAsia="仿宋_GB2312" w:hAnsi="Times New Roman" w:cs="Times New Roman" w:hint="eastAsia"/>
                <w:color w:val="000000"/>
                <w:kern w:val="0"/>
                <w:sz w:val="28"/>
                <w:szCs w:val="28"/>
              </w:rPr>
              <w:lastRenderedPageBreak/>
              <w:t>临床操作考核</w:t>
            </w:r>
          </w:p>
        </w:tc>
        <w:tc>
          <w:tcPr>
            <w:tcW w:w="2914"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能独立完成肺部常见</w:t>
            </w:r>
            <w:r w:rsidRPr="00281BE1">
              <w:rPr>
                <w:rFonts w:ascii="仿宋_GB2312" w:eastAsia="仿宋_GB2312" w:hAnsi="Times New Roman" w:cs="Times New Roman" w:hint="eastAsia"/>
                <w:color w:val="000000"/>
                <w:kern w:val="0"/>
                <w:sz w:val="28"/>
                <w:szCs w:val="28"/>
              </w:rPr>
              <w:lastRenderedPageBreak/>
              <w:t>疾病的诊治及围术期管理，能独立完成简单肺叶切除等手术</w:t>
            </w:r>
          </w:p>
        </w:tc>
      </w:tr>
      <w:tr w:rsidR="00557899" w:rsidRPr="00281BE1" w:rsidTr="00557899">
        <w:tc>
          <w:tcPr>
            <w:tcW w:w="1276"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食管外科</w:t>
            </w:r>
          </w:p>
        </w:tc>
        <w:tc>
          <w:tcPr>
            <w:tcW w:w="1276"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食管癌等疾病的外科诊疗</w:t>
            </w:r>
          </w:p>
        </w:tc>
        <w:tc>
          <w:tcPr>
            <w:tcW w:w="1276"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1701"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2914" w:type="dxa"/>
            <w:tcBorders>
              <w:top w:val="single" w:sz="4" w:space="0" w:color="auto"/>
              <w:left w:val="single" w:sz="4" w:space="0" w:color="auto"/>
              <w:bottom w:val="single" w:sz="4" w:space="0" w:color="auto"/>
              <w:right w:val="single" w:sz="4" w:space="0" w:color="auto"/>
            </w:tcBorders>
          </w:tcPr>
          <w:p w:rsidR="00557899" w:rsidRPr="00281BE1" w:rsidRDefault="0031046F"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能独立完成食管常见疾病的诊治及围术期管理（尤其是食管癌术后并发症管理）</w:t>
            </w:r>
            <w:r w:rsidR="00AD1A1E" w:rsidRPr="00281BE1">
              <w:rPr>
                <w:rFonts w:ascii="仿宋_GB2312" w:eastAsia="仿宋_GB2312" w:hAnsi="Times New Roman" w:cs="Times New Roman" w:hint="eastAsia"/>
                <w:color w:val="000000"/>
                <w:kern w:val="0"/>
                <w:sz w:val="28"/>
                <w:szCs w:val="28"/>
              </w:rPr>
              <w:t>，能独立完成开胸食管癌手术</w:t>
            </w:r>
          </w:p>
        </w:tc>
      </w:tr>
      <w:tr w:rsidR="0031046F" w:rsidRPr="00281BE1" w:rsidTr="00557899">
        <w:tc>
          <w:tcPr>
            <w:tcW w:w="1276"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纵隔外科</w:t>
            </w:r>
          </w:p>
        </w:tc>
        <w:tc>
          <w:tcPr>
            <w:tcW w:w="1276"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纵隔常见疾病的外科诊疗</w:t>
            </w:r>
          </w:p>
        </w:tc>
        <w:tc>
          <w:tcPr>
            <w:tcW w:w="1276"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1701"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2914"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能独立完成纵隔常见疾病的诊治及围术期管理（尤其是重症肌无力的围术期管理）</w:t>
            </w:r>
          </w:p>
        </w:tc>
      </w:tr>
      <w:tr w:rsidR="0031046F" w:rsidRPr="00281BE1" w:rsidTr="00557899">
        <w:tc>
          <w:tcPr>
            <w:tcW w:w="1276"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胸壁外科</w:t>
            </w:r>
          </w:p>
        </w:tc>
        <w:tc>
          <w:tcPr>
            <w:tcW w:w="1276"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胸壁常见疾病的外科</w:t>
            </w:r>
            <w:r w:rsidRPr="00281BE1">
              <w:rPr>
                <w:rFonts w:ascii="仿宋_GB2312" w:eastAsia="仿宋_GB2312" w:hAnsi="Times New Roman" w:cs="Times New Roman" w:hint="eastAsia"/>
                <w:color w:val="000000"/>
                <w:kern w:val="0"/>
                <w:sz w:val="28"/>
                <w:szCs w:val="28"/>
              </w:rPr>
              <w:lastRenderedPageBreak/>
              <w:t>诊疗</w:t>
            </w:r>
          </w:p>
        </w:tc>
        <w:tc>
          <w:tcPr>
            <w:tcW w:w="1276"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同上</w:t>
            </w:r>
          </w:p>
        </w:tc>
        <w:tc>
          <w:tcPr>
            <w:tcW w:w="1701"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2914" w:type="dxa"/>
            <w:tcBorders>
              <w:top w:val="single" w:sz="4" w:space="0" w:color="auto"/>
              <w:left w:val="single" w:sz="4" w:space="0" w:color="auto"/>
              <w:bottom w:val="single" w:sz="4" w:space="0" w:color="auto"/>
              <w:right w:val="single" w:sz="4" w:space="0" w:color="auto"/>
            </w:tcBorders>
          </w:tcPr>
          <w:p w:rsidR="0031046F"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能独立完成纵隔常见疾病的诊治及围术期管理，能独立完成常规</w:t>
            </w:r>
            <w:r w:rsidRPr="00281BE1">
              <w:rPr>
                <w:rFonts w:ascii="仿宋_GB2312" w:eastAsia="仿宋_GB2312" w:hAnsi="Times New Roman" w:cs="Times New Roman" w:hint="eastAsia"/>
                <w:color w:val="000000"/>
                <w:kern w:val="0"/>
                <w:sz w:val="28"/>
                <w:szCs w:val="28"/>
              </w:rPr>
              <w:lastRenderedPageBreak/>
              <w:t>漏斗胸、胸壁肿物手术</w:t>
            </w:r>
          </w:p>
        </w:tc>
      </w:tr>
      <w:tr w:rsidR="00AD1A1E" w:rsidRPr="00281BE1" w:rsidTr="00557899">
        <w:tc>
          <w:tcPr>
            <w:tcW w:w="1276"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lastRenderedPageBreak/>
              <w:t>ERAS</w:t>
            </w:r>
          </w:p>
        </w:tc>
        <w:tc>
          <w:tcPr>
            <w:tcW w:w="1276"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ERAS流程</w:t>
            </w:r>
          </w:p>
        </w:tc>
        <w:tc>
          <w:tcPr>
            <w:tcW w:w="1276"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1701"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2914"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熟悉ERAS理论及常见管理流程</w:t>
            </w:r>
          </w:p>
        </w:tc>
      </w:tr>
      <w:tr w:rsidR="00AD1A1E" w:rsidRPr="00281BE1" w:rsidTr="00557899">
        <w:tc>
          <w:tcPr>
            <w:tcW w:w="1276"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微创胸外科</w:t>
            </w:r>
          </w:p>
        </w:tc>
        <w:tc>
          <w:tcPr>
            <w:tcW w:w="1276"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微创胸外科常规手术</w:t>
            </w:r>
            <w:r w:rsidR="00847957" w:rsidRPr="00281BE1">
              <w:rPr>
                <w:rFonts w:ascii="仿宋_GB2312" w:eastAsia="仿宋_GB2312" w:hAnsi="Times New Roman" w:cs="Times New Roman" w:hint="eastAsia"/>
                <w:color w:val="000000"/>
                <w:kern w:val="0"/>
                <w:sz w:val="28"/>
                <w:szCs w:val="28"/>
              </w:rPr>
              <w:t>操作</w:t>
            </w:r>
          </w:p>
        </w:tc>
        <w:tc>
          <w:tcPr>
            <w:tcW w:w="1276"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1701"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同上</w:t>
            </w:r>
          </w:p>
        </w:tc>
        <w:tc>
          <w:tcPr>
            <w:tcW w:w="2914" w:type="dxa"/>
            <w:tcBorders>
              <w:top w:val="single" w:sz="4" w:space="0" w:color="auto"/>
              <w:left w:val="single" w:sz="4" w:space="0" w:color="auto"/>
              <w:bottom w:val="single" w:sz="4" w:space="0" w:color="auto"/>
              <w:right w:val="single" w:sz="4" w:space="0" w:color="auto"/>
            </w:tcBorders>
          </w:tcPr>
          <w:p w:rsidR="00AD1A1E" w:rsidRPr="00281BE1" w:rsidRDefault="00AD1A1E" w:rsidP="000C0FD8">
            <w:pPr>
              <w:widowControl/>
              <w:spacing w:line="276" w:lineRule="auto"/>
              <w:jc w:val="left"/>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熟悉胸外科</w:t>
            </w:r>
            <w:r w:rsidR="00B5710C" w:rsidRPr="00281BE1">
              <w:rPr>
                <w:rFonts w:ascii="仿宋_GB2312" w:eastAsia="仿宋_GB2312" w:hAnsi="Times New Roman" w:cs="Times New Roman" w:hint="eastAsia"/>
                <w:color w:val="000000"/>
                <w:kern w:val="0"/>
                <w:sz w:val="28"/>
                <w:szCs w:val="28"/>
              </w:rPr>
              <w:t>常见微创手术</w:t>
            </w:r>
            <w:r w:rsidRPr="00281BE1">
              <w:rPr>
                <w:rFonts w:ascii="仿宋_GB2312" w:eastAsia="仿宋_GB2312" w:hAnsi="Times New Roman" w:cs="Times New Roman" w:hint="eastAsia"/>
                <w:color w:val="000000"/>
                <w:kern w:val="0"/>
                <w:sz w:val="28"/>
                <w:szCs w:val="28"/>
              </w:rPr>
              <w:t>（肺、食管、纵隔等</w:t>
            </w:r>
            <w:r w:rsidR="00B5710C" w:rsidRPr="00281BE1">
              <w:rPr>
                <w:rFonts w:ascii="仿宋_GB2312" w:eastAsia="仿宋_GB2312" w:hAnsi="Times New Roman" w:cs="Times New Roman" w:hint="eastAsia"/>
                <w:color w:val="000000"/>
                <w:kern w:val="0"/>
                <w:sz w:val="28"/>
                <w:szCs w:val="28"/>
              </w:rPr>
              <w:t>的腔镜手术</w:t>
            </w:r>
            <w:r w:rsidRPr="00281BE1">
              <w:rPr>
                <w:rFonts w:ascii="仿宋_GB2312" w:eastAsia="仿宋_GB2312" w:hAnsi="Times New Roman" w:cs="Times New Roman" w:hint="eastAsia"/>
                <w:color w:val="000000"/>
                <w:kern w:val="0"/>
                <w:sz w:val="28"/>
                <w:szCs w:val="28"/>
              </w:rPr>
              <w:t>），能独立完成常规</w:t>
            </w:r>
            <w:r w:rsidR="00847957" w:rsidRPr="00281BE1">
              <w:rPr>
                <w:rFonts w:ascii="仿宋_GB2312" w:eastAsia="仿宋_GB2312" w:hAnsi="Times New Roman" w:cs="Times New Roman" w:hint="eastAsia"/>
                <w:color w:val="000000"/>
                <w:kern w:val="0"/>
                <w:sz w:val="28"/>
                <w:szCs w:val="28"/>
              </w:rPr>
              <w:t>胸腔镜</w:t>
            </w:r>
            <w:r w:rsidRPr="00281BE1">
              <w:rPr>
                <w:rFonts w:ascii="仿宋_GB2312" w:eastAsia="仿宋_GB2312" w:hAnsi="Times New Roman" w:cs="Times New Roman" w:hint="eastAsia"/>
                <w:color w:val="000000"/>
                <w:kern w:val="0"/>
                <w:sz w:val="28"/>
                <w:szCs w:val="28"/>
              </w:rPr>
              <w:t>肺叶切除</w:t>
            </w:r>
            <w:r w:rsidR="00847957" w:rsidRPr="00281BE1">
              <w:rPr>
                <w:rFonts w:ascii="仿宋_GB2312" w:eastAsia="仿宋_GB2312" w:hAnsi="Times New Roman" w:cs="Times New Roman" w:hint="eastAsia"/>
                <w:color w:val="000000"/>
                <w:kern w:val="0"/>
                <w:sz w:val="28"/>
                <w:szCs w:val="28"/>
              </w:rPr>
              <w:t>+淋巴结清扫、胸腔镜纵隔肿瘤切除等</w:t>
            </w:r>
          </w:p>
        </w:tc>
      </w:tr>
    </w:tbl>
    <w:p w:rsidR="000C0FD8" w:rsidRPr="00281BE1" w:rsidRDefault="000C0FD8" w:rsidP="00DC71D6">
      <w:pPr>
        <w:widowControl/>
        <w:shd w:val="clear" w:color="auto" w:fill="FFFFFF"/>
        <w:spacing w:line="360" w:lineRule="auto"/>
        <w:jc w:val="left"/>
        <w:rPr>
          <w:rFonts w:ascii="仿宋_GB2312" w:eastAsia="仿宋_GB2312" w:hAnsi="仿宋" w:cs="宋体" w:hint="eastAsia"/>
          <w:b/>
          <w:bCs/>
          <w:color w:val="333333"/>
          <w:kern w:val="0"/>
          <w:sz w:val="28"/>
          <w:szCs w:val="28"/>
        </w:rPr>
      </w:pPr>
    </w:p>
    <w:p w:rsidR="00557899" w:rsidRPr="00281BE1" w:rsidRDefault="00557899" w:rsidP="00DC71D6">
      <w:pPr>
        <w:widowControl/>
        <w:shd w:val="clear" w:color="auto" w:fill="FFFFFF"/>
        <w:spacing w:line="360" w:lineRule="auto"/>
        <w:jc w:val="left"/>
        <w:rPr>
          <w:rFonts w:ascii="仿宋_GB2312" w:eastAsia="仿宋_GB2312" w:hAnsi="仿宋" w:cs="宋体" w:hint="eastAsia"/>
          <w:b/>
          <w:bCs/>
          <w:color w:val="333333"/>
          <w:kern w:val="0"/>
          <w:sz w:val="28"/>
          <w:szCs w:val="28"/>
        </w:rPr>
      </w:pPr>
      <w:r w:rsidRPr="00281BE1">
        <w:rPr>
          <w:rFonts w:ascii="仿宋_GB2312" w:eastAsia="仿宋_GB2312" w:hAnsi="仿宋" w:cs="宋体" w:hint="eastAsia"/>
          <w:b/>
          <w:bCs/>
          <w:color w:val="333333"/>
          <w:kern w:val="0"/>
          <w:sz w:val="28"/>
          <w:szCs w:val="28"/>
        </w:rPr>
        <w:t>四、进修学员资质要求</w:t>
      </w:r>
    </w:p>
    <w:p w:rsidR="0031046F" w:rsidRPr="00281BE1" w:rsidRDefault="00557899" w:rsidP="00DC71D6">
      <w:pPr>
        <w:spacing w:line="360" w:lineRule="auto"/>
        <w:ind w:firstLine="42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资质要求包括：</w:t>
      </w:r>
    </w:p>
    <w:p w:rsidR="0031046F" w:rsidRPr="00281BE1" w:rsidRDefault="00557899" w:rsidP="00DC71D6">
      <w:pPr>
        <w:spacing w:line="360" w:lineRule="auto"/>
        <w:ind w:firstLine="42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学历</w:t>
      </w:r>
      <w:r w:rsidR="0031046F" w:rsidRPr="00281BE1">
        <w:rPr>
          <w:rFonts w:ascii="仿宋_GB2312" w:eastAsia="仿宋_GB2312" w:hAnsi="Times New Roman" w:cs="Times New Roman" w:hint="eastAsia"/>
          <w:color w:val="000000"/>
          <w:kern w:val="0"/>
          <w:sz w:val="28"/>
          <w:szCs w:val="28"/>
        </w:rPr>
        <w:t>：本科及以上</w:t>
      </w:r>
      <w:r w:rsidR="000C0FD8" w:rsidRPr="00281BE1">
        <w:rPr>
          <w:rFonts w:ascii="仿宋_GB2312" w:eastAsia="仿宋_GB2312" w:hAnsi="Times New Roman" w:cs="Times New Roman" w:hint="eastAsia"/>
          <w:color w:val="000000"/>
          <w:kern w:val="0"/>
          <w:sz w:val="28"/>
          <w:szCs w:val="28"/>
        </w:rPr>
        <w:t>；</w:t>
      </w:r>
    </w:p>
    <w:p w:rsidR="0031046F" w:rsidRPr="00281BE1" w:rsidRDefault="00557899" w:rsidP="00DC71D6">
      <w:pPr>
        <w:spacing w:line="360" w:lineRule="auto"/>
        <w:ind w:firstLine="420"/>
        <w:rPr>
          <w:rFonts w:ascii="仿宋_GB2312" w:eastAsia="仿宋_GB2312" w:hAnsi="Times New Roman" w:cs="Times New Roman" w:hint="eastAsia"/>
          <w:color w:val="000000"/>
          <w:kern w:val="0"/>
          <w:sz w:val="28"/>
          <w:szCs w:val="28"/>
        </w:rPr>
      </w:pPr>
      <w:r w:rsidRPr="00281BE1">
        <w:rPr>
          <w:rFonts w:ascii="仿宋_GB2312" w:eastAsia="仿宋_GB2312" w:hAnsi="Times New Roman" w:cs="Times New Roman" w:hint="eastAsia"/>
          <w:color w:val="000000"/>
          <w:kern w:val="0"/>
          <w:sz w:val="28"/>
          <w:szCs w:val="28"/>
        </w:rPr>
        <w:t>工作年限</w:t>
      </w:r>
      <w:r w:rsidR="0031046F" w:rsidRPr="00281BE1">
        <w:rPr>
          <w:rFonts w:ascii="仿宋_GB2312" w:eastAsia="仿宋_GB2312" w:hAnsi="Times New Roman" w:cs="Times New Roman" w:hint="eastAsia"/>
          <w:color w:val="000000"/>
          <w:kern w:val="0"/>
          <w:sz w:val="28"/>
          <w:szCs w:val="28"/>
        </w:rPr>
        <w:t>：从事外科专业临床工作3年以上</w:t>
      </w:r>
      <w:r w:rsidR="000C0FD8" w:rsidRPr="00281BE1">
        <w:rPr>
          <w:rFonts w:ascii="仿宋_GB2312" w:eastAsia="仿宋_GB2312" w:hAnsi="Times New Roman" w:cs="Times New Roman" w:hint="eastAsia"/>
          <w:color w:val="000000"/>
          <w:kern w:val="0"/>
          <w:sz w:val="28"/>
          <w:szCs w:val="28"/>
        </w:rPr>
        <w:t>；</w:t>
      </w:r>
    </w:p>
    <w:p w:rsidR="006063BF" w:rsidRPr="00281BE1" w:rsidRDefault="00557899" w:rsidP="000C0FD8">
      <w:pPr>
        <w:spacing w:line="360" w:lineRule="auto"/>
        <w:ind w:firstLine="420"/>
        <w:rPr>
          <w:rFonts w:ascii="仿宋_GB2312" w:eastAsia="仿宋_GB2312" w:hint="eastAsia"/>
          <w:sz w:val="28"/>
          <w:szCs w:val="28"/>
        </w:rPr>
      </w:pPr>
      <w:r w:rsidRPr="00281BE1">
        <w:rPr>
          <w:rFonts w:ascii="仿宋_GB2312" w:eastAsia="仿宋_GB2312" w:hAnsi="Times New Roman" w:cs="Times New Roman" w:hint="eastAsia"/>
          <w:color w:val="000000"/>
          <w:kern w:val="0"/>
          <w:sz w:val="28"/>
          <w:szCs w:val="28"/>
        </w:rPr>
        <w:t>医师资格证、医师执业证</w:t>
      </w:r>
      <w:r w:rsidR="0031046F" w:rsidRPr="00281BE1">
        <w:rPr>
          <w:rFonts w:ascii="仿宋_GB2312" w:eastAsia="仿宋_GB2312" w:hAnsi="Times New Roman" w:cs="Times New Roman" w:hint="eastAsia"/>
          <w:color w:val="000000"/>
          <w:kern w:val="0"/>
          <w:sz w:val="28"/>
          <w:szCs w:val="28"/>
        </w:rPr>
        <w:t>：必须具备</w:t>
      </w:r>
      <w:r w:rsidR="000C0FD8" w:rsidRPr="00281BE1">
        <w:rPr>
          <w:rFonts w:ascii="仿宋_GB2312" w:eastAsia="仿宋_GB2312" w:hAnsi="Times New Roman" w:cs="Times New Roman" w:hint="eastAsia"/>
          <w:color w:val="000000"/>
          <w:kern w:val="0"/>
          <w:sz w:val="28"/>
          <w:szCs w:val="28"/>
        </w:rPr>
        <w:t>。</w:t>
      </w:r>
      <w:bookmarkStart w:id="0" w:name="_GoBack"/>
      <w:bookmarkEnd w:id="0"/>
    </w:p>
    <w:sectPr w:rsidR="006063BF" w:rsidRPr="00281BE1" w:rsidSect="00F64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87" w:rsidRDefault="00BD2F87" w:rsidP="00281BE1">
      <w:r>
        <w:separator/>
      </w:r>
    </w:p>
  </w:endnote>
  <w:endnote w:type="continuationSeparator" w:id="1">
    <w:p w:rsidR="00BD2F87" w:rsidRDefault="00BD2F87" w:rsidP="00281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87" w:rsidRDefault="00BD2F87" w:rsidP="00281BE1">
      <w:r>
        <w:separator/>
      </w:r>
    </w:p>
  </w:footnote>
  <w:footnote w:type="continuationSeparator" w:id="1">
    <w:p w:rsidR="00BD2F87" w:rsidRDefault="00BD2F87" w:rsidP="00281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53C"/>
    <w:multiLevelType w:val="hybridMultilevel"/>
    <w:tmpl w:val="79BCC36A"/>
    <w:lvl w:ilvl="0" w:tplc="09CA062E">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AE2"/>
    <w:rsid w:val="000C0FD8"/>
    <w:rsid w:val="00281BE1"/>
    <w:rsid w:val="0031046F"/>
    <w:rsid w:val="00557899"/>
    <w:rsid w:val="006063BF"/>
    <w:rsid w:val="00747940"/>
    <w:rsid w:val="007932EB"/>
    <w:rsid w:val="00847957"/>
    <w:rsid w:val="00A61C4C"/>
    <w:rsid w:val="00AD1A1E"/>
    <w:rsid w:val="00B5710C"/>
    <w:rsid w:val="00BD2F87"/>
    <w:rsid w:val="00D07AE2"/>
    <w:rsid w:val="00D82C6B"/>
    <w:rsid w:val="00DC71D6"/>
    <w:rsid w:val="00F64C9B"/>
    <w:rsid w:val="00F956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899"/>
    <w:pPr>
      <w:ind w:firstLineChars="200" w:firstLine="420"/>
    </w:pPr>
  </w:style>
  <w:style w:type="table" w:styleId="a4">
    <w:name w:val="Table Grid"/>
    <w:basedOn w:val="a1"/>
    <w:uiPriority w:val="39"/>
    <w:rsid w:val="00557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281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81BE1"/>
    <w:rPr>
      <w:sz w:val="18"/>
      <w:szCs w:val="18"/>
    </w:rPr>
  </w:style>
  <w:style w:type="paragraph" w:styleId="a6">
    <w:name w:val="footer"/>
    <w:basedOn w:val="a"/>
    <w:link w:val="Char0"/>
    <w:uiPriority w:val="99"/>
    <w:semiHidden/>
    <w:unhideWhenUsed/>
    <w:rsid w:val="00281BE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81BE1"/>
    <w:rPr>
      <w:sz w:val="18"/>
      <w:szCs w:val="18"/>
    </w:rPr>
  </w:style>
</w:styles>
</file>

<file path=word/webSettings.xml><?xml version="1.0" encoding="utf-8"?>
<w:webSettings xmlns:r="http://schemas.openxmlformats.org/officeDocument/2006/relationships" xmlns:w="http://schemas.openxmlformats.org/wordprocessingml/2006/main">
  <w:divs>
    <w:div w:id="11159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219</cp:lastModifiedBy>
  <cp:revision>12</cp:revision>
  <dcterms:created xsi:type="dcterms:W3CDTF">2018-06-25T07:55:00Z</dcterms:created>
  <dcterms:modified xsi:type="dcterms:W3CDTF">2018-09-20T01:21:00Z</dcterms:modified>
</cp:coreProperties>
</file>