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7A" w:rsidRPr="00CF0FD2" w:rsidRDefault="00B12F06" w:rsidP="00C817CF">
      <w:pPr>
        <w:jc w:val="center"/>
        <w:rPr>
          <w:rFonts w:ascii="方正小标宋简体" w:eastAsia="方正小标宋简体" w:hAnsi="楷体" w:hint="eastAsia"/>
          <w:sz w:val="44"/>
          <w:szCs w:val="44"/>
        </w:rPr>
      </w:pPr>
      <w:r w:rsidRPr="00CF0FD2">
        <w:rPr>
          <w:rFonts w:ascii="方正小标宋简体" w:eastAsia="方正小标宋简体" w:hAnsi="楷体" w:hint="eastAsia"/>
          <w:sz w:val="44"/>
          <w:szCs w:val="44"/>
        </w:rPr>
        <w:t>小儿外科</w:t>
      </w:r>
      <w:r w:rsidR="001B0E7A" w:rsidRPr="00CF0FD2">
        <w:rPr>
          <w:rFonts w:ascii="方正小标宋简体" w:eastAsia="方正小标宋简体" w:hAnsi="楷体" w:hint="eastAsia"/>
          <w:sz w:val="44"/>
          <w:szCs w:val="44"/>
        </w:rPr>
        <w:t>进修招生简章</w:t>
      </w:r>
    </w:p>
    <w:p w:rsidR="001B0E7A" w:rsidRPr="00CF0FD2" w:rsidRDefault="001B0E7A" w:rsidP="00CF3048">
      <w:pPr>
        <w:widowControl/>
        <w:shd w:val="clear" w:color="auto" w:fill="FFFFFF"/>
        <w:spacing w:line="520" w:lineRule="exact"/>
        <w:jc w:val="left"/>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一、科室简介</w:t>
      </w:r>
    </w:p>
    <w:p w:rsidR="001B0E7A" w:rsidRPr="00CF0FD2" w:rsidRDefault="001B0E7A" w:rsidP="00CF0FD2">
      <w:pPr>
        <w:pStyle w:val="a7"/>
        <w:snapToGrid w:val="0"/>
        <w:spacing w:before="0" w:beforeAutospacing="0" w:after="0" w:afterAutospacing="0" w:line="400" w:lineRule="exact"/>
        <w:ind w:firstLineChars="200" w:firstLine="560"/>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四川大学华西医院（原华西医科大学附属第一医院）小儿外科成立于1960年10月1日，由全国著名的小儿外科专家胡廷泽教授组建，是国内最早建立的小儿外科中心之一。50余年来，华西医院小儿外科经过几代人的不断努力，到2011年，已发展到拥有9名教授、7名副教授，医护人员70余人的专科团队。目前编制床位157张，年门诊量达4万人次，年手术台次达1万台次，在读博士、硕士研究生20余人，集医疗、教学、科研为一体的儿童外科医疗中心。</w:t>
      </w:r>
    </w:p>
    <w:p w:rsidR="001B0E7A" w:rsidRPr="00CF0FD2" w:rsidRDefault="001B0E7A" w:rsidP="00CF0FD2">
      <w:pPr>
        <w:pStyle w:val="a7"/>
        <w:snapToGrid w:val="0"/>
        <w:spacing w:before="0" w:beforeAutospacing="0" w:after="0" w:afterAutospacing="0" w:line="400" w:lineRule="exact"/>
        <w:ind w:firstLineChars="200" w:firstLine="560"/>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 xml:space="preserve">华西医院小儿外科专业是全国最早批准的六个小儿外科博士点之一。2006年成为首批卫生部全国小儿外科专科医师培养基地，2007年与四川大学儿内科被授予儿科学卫生部全国重点学科，综合实力和学术影响位于全国前列。 </w:t>
      </w:r>
    </w:p>
    <w:p w:rsidR="001B0E7A" w:rsidRPr="00CF0FD2" w:rsidRDefault="001B0E7A" w:rsidP="00CF0FD2">
      <w:pPr>
        <w:pStyle w:val="a7"/>
        <w:snapToGrid w:val="0"/>
        <w:spacing w:before="0" w:beforeAutospacing="0" w:after="0" w:afterAutospacing="0" w:line="400" w:lineRule="exact"/>
        <w:ind w:firstLineChars="200" w:firstLine="560"/>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小儿外科位于华西医院第二住院大楼2楼、3楼，现有固定床位140张，小儿外科ICU床位17张（第一住院大楼11楼）。临床亚专科包括：小儿普通外科、小儿泌尿外科、小儿头颈胸部外科、小儿矫形外科、新生儿外科、及儿外ICU室等六个亚专科。</w:t>
      </w:r>
      <w:r w:rsidRPr="00CF0FD2">
        <w:rPr>
          <w:rFonts w:ascii="仿宋_GB2312" w:eastAsia="仿宋_GB2312" w:hAnsi="楷体" w:hint="eastAsia"/>
          <w:color w:val="auto"/>
          <w:sz w:val="28"/>
          <w:szCs w:val="28"/>
        </w:rPr>
        <w:br/>
      </w:r>
      <w:r w:rsidRPr="00CF0FD2">
        <w:rPr>
          <w:rFonts w:ascii="仿宋_GB2312" w:eastAsia="仿宋_GB2312" w:hAnsi="楷体" w:hint="eastAsia"/>
          <w:color w:val="auto"/>
          <w:sz w:val="28"/>
          <w:szCs w:val="28"/>
        </w:rPr>
        <w:t>  </w:t>
      </w:r>
      <w:r w:rsidRPr="00CF0FD2">
        <w:rPr>
          <w:rFonts w:ascii="仿宋_GB2312" w:eastAsia="仿宋_GB2312" w:hAnsi="楷体" w:hint="eastAsia"/>
          <w:color w:val="auto"/>
          <w:sz w:val="28"/>
          <w:szCs w:val="28"/>
        </w:rPr>
        <w:t>数十年来，华西医院小儿外科为国内、外培养并输送了大批优秀的小儿外科专业人才（进修生、硕士研究生、博士研究生），已成为各地医院的业务骨干、专家教授，他们中部分同志已经担任领导工作，共同促进小儿外科的学科发展。</w:t>
      </w:r>
    </w:p>
    <w:p w:rsidR="001B0E7A" w:rsidRPr="00CF0FD2" w:rsidRDefault="001B0E7A" w:rsidP="00CF0FD2">
      <w:pPr>
        <w:pStyle w:val="a7"/>
        <w:snapToGrid w:val="0"/>
        <w:spacing w:before="0" w:beforeAutospacing="0" w:after="0" w:afterAutospacing="0" w:line="400" w:lineRule="exact"/>
        <w:ind w:firstLineChars="200" w:firstLine="560"/>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目前华西医院小儿外科与美国、加拿大/澳大利亚、日本、香港等国家和地区开展了多方交流与合作，并将“学科交叉”和“转化医学”作为学科发展的重要方向，力求与国际接轨，促进临床工作水平进一步提升，造福西南乃至全国的儿童患者。</w:t>
      </w:r>
    </w:p>
    <w:p w:rsidR="001B0E7A" w:rsidRPr="00CF0FD2" w:rsidRDefault="001B0E7A" w:rsidP="00C11416">
      <w:pPr>
        <w:pStyle w:val="a7"/>
        <w:snapToGrid w:val="0"/>
        <w:spacing w:before="0" w:beforeAutospacing="0" w:after="0" w:afterAutospacing="0" w:line="400" w:lineRule="exact"/>
        <w:ind w:left="720"/>
        <w:rPr>
          <w:rFonts w:ascii="仿宋_GB2312" w:eastAsia="仿宋_GB2312" w:hAnsi="楷体" w:hint="eastAsia"/>
          <w:color w:val="auto"/>
          <w:sz w:val="28"/>
          <w:szCs w:val="28"/>
        </w:rPr>
      </w:pPr>
    </w:p>
    <w:p w:rsidR="001B0E7A" w:rsidRPr="00CF0FD2" w:rsidRDefault="001B0E7A" w:rsidP="00EE7A37">
      <w:pPr>
        <w:widowControl/>
        <w:shd w:val="clear" w:color="auto" w:fill="FFFFFF"/>
        <w:spacing w:line="520" w:lineRule="exact"/>
        <w:jc w:val="left"/>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二、进修专业简介</w:t>
      </w:r>
    </w:p>
    <w:p w:rsidR="00CF0FD2" w:rsidRDefault="001B0E7A" w:rsidP="00477F10">
      <w:pPr>
        <w:pStyle w:val="a7"/>
        <w:snapToGrid w:val="0"/>
        <w:spacing w:before="0" w:beforeAutospacing="0" w:after="0" w:afterAutospacing="0" w:line="400" w:lineRule="exact"/>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1.进修方向（亚专业及项目介绍）</w:t>
      </w:r>
    </w:p>
    <w:p w:rsidR="001B0E7A" w:rsidRPr="00CF0FD2" w:rsidRDefault="00CF0FD2" w:rsidP="00477F10">
      <w:pPr>
        <w:pStyle w:val="a7"/>
        <w:snapToGrid w:val="0"/>
        <w:spacing w:before="0" w:beforeAutospacing="0" w:after="0" w:afterAutospacing="0" w:line="400" w:lineRule="exact"/>
        <w:rPr>
          <w:rFonts w:ascii="仿宋_GB2312" w:eastAsia="仿宋_GB2312" w:hAnsi="楷体" w:hint="eastAsia"/>
          <w:color w:val="auto"/>
          <w:sz w:val="28"/>
          <w:szCs w:val="28"/>
        </w:rPr>
      </w:pPr>
      <w:r>
        <w:rPr>
          <w:rFonts w:ascii="仿宋_GB2312" w:eastAsia="仿宋_GB2312" w:hAnsi="楷体" w:hint="eastAsia"/>
          <w:color w:val="auto"/>
          <w:sz w:val="28"/>
          <w:szCs w:val="28"/>
        </w:rPr>
        <w:t xml:space="preserve">    </w:t>
      </w:r>
      <w:r w:rsidR="001B0E7A" w:rsidRPr="00CF0FD2">
        <w:rPr>
          <w:rFonts w:ascii="仿宋_GB2312" w:eastAsia="仿宋_GB2312" w:hAnsi="楷体" w:hint="eastAsia"/>
          <w:b/>
          <w:color w:val="auto"/>
          <w:sz w:val="28"/>
          <w:szCs w:val="28"/>
        </w:rPr>
        <w:t>小儿骨科专业组</w:t>
      </w:r>
      <w:r w:rsidR="001B0E7A" w:rsidRPr="00CF0FD2">
        <w:rPr>
          <w:rFonts w:ascii="仿宋_GB2312" w:eastAsia="仿宋_GB2312" w:hAnsi="楷体" w:hint="eastAsia"/>
          <w:color w:val="auto"/>
          <w:sz w:val="28"/>
          <w:szCs w:val="28"/>
        </w:rPr>
        <w:t>从60年代初相继开展了小儿四肢和儿童脊柱畸形、创伤、感染、骨肿瘤及瘤样病损、脑瘫后遗畸形矫形、臀肌挛缩等各类手术。特别是在各种髋关节疾病的诊治积累了丰富经验。1964年和1981年分别率先开展Salter和Pemberton手术开放复位治疗发</w:t>
      </w:r>
      <w:r w:rsidR="001B0E7A" w:rsidRPr="00CF0FD2">
        <w:rPr>
          <w:rFonts w:ascii="仿宋_GB2312" w:eastAsia="仿宋_GB2312" w:hAnsi="楷体" w:hint="eastAsia"/>
          <w:color w:val="auto"/>
          <w:sz w:val="28"/>
          <w:szCs w:val="28"/>
        </w:rPr>
        <w:lastRenderedPageBreak/>
        <w:t>育性髋关节脱位，手术快、创伤小、成功率高、疗效好。近十多年来收治髋关节脱位3000余例，切开复位的成功复位率&gt;99%，其中近年来开展同期双侧切开复位加各类截骨术治疗双侧髋关节脱位700余例，复位成功率&gt;95%。有关发育性髋关节脱位诊治及技术改进、髋关节滑膜唇皱襞</w:t>
      </w:r>
      <w:r w:rsidR="001B0E7A" w:rsidRPr="00CF0FD2">
        <w:rPr>
          <w:rFonts w:ascii="仿宋_GB2312" w:eastAsia="楷体" w:hAnsi="楷体" w:hint="eastAsia"/>
          <w:color w:val="auto"/>
          <w:sz w:val="28"/>
          <w:szCs w:val="28"/>
        </w:rPr>
        <w:t>崁</w:t>
      </w:r>
      <w:r w:rsidR="001B0E7A" w:rsidRPr="00CF0FD2">
        <w:rPr>
          <w:rFonts w:ascii="仿宋_GB2312" w:eastAsia="仿宋_GB2312" w:hAnsi="楷体" w:hint="eastAsia"/>
          <w:color w:val="auto"/>
          <w:sz w:val="28"/>
          <w:szCs w:val="28"/>
        </w:rPr>
        <w:t>顿的诊治及注射型臀肌挛缩症病因和诊治研究分别获卫生部及四川省科技进步奖励。先后承担国家自然科研基金、省、卫生部课题10余项，在国内外统计源、核心期刊及SCI、Medline收录期刊发表论文百余篇。</w:t>
      </w:r>
    </w:p>
    <w:p w:rsidR="001B0E7A" w:rsidRPr="00CF0FD2" w:rsidRDefault="001B0E7A" w:rsidP="00CF0FD2">
      <w:pPr>
        <w:pStyle w:val="a7"/>
        <w:snapToGrid w:val="0"/>
        <w:spacing w:before="0" w:beforeAutospacing="0" w:after="0" w:afterAutospacing="0" w:line="400" w:lineRule="exact"/>
        <w:ind w:firstLineChars="200" w:firstLine="560"/>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小儿骨科专业主要进修内容有：儿童发育性髋关节脱位的规范化治疗，双侧发育性髋关节脱位I期手术治疗，儿童脊柱畸形疾病的诊治，儿童骨折规范化治疗，先天性马蹄内翻足ponseti法规范化治疗等。</w:t>
      </w:r>
    </w:p>
    <w:p w:rsidR="001B0E7A" w:rsidRPr="00CF0FD2" w:rsidRDefault="001B0E7A" w:rsidP="00CF0FD2">
      <w:pPr>
        <w:pStyle w:val="a7"/>
        <w:snapToGrid w:val="0"/>
        <w:spacing w:before="0" w:beforeAutospacing="0" w:after="0" w:afterAutospacing="0" w:line="400" w:lineRule="exact"/>
        <w:ind w:firstLineChars="200" w:firstLine="562"/>
        <w:rPr>
          <w:rFonts w:ascii="仿宋_GB2312" w:eastAsia="仿宋_GB2312" w:hAnsi="楷体" w:hint="eastAsia"/>
          <w:color w:val="auto"/>
          <w:sz w:val="28"/>
          <w:szCs w:val="28"/>
        </w:rPr>
      </w:pPr>
      <w:r w:rsidRPr="00CF0FD2">
        <w:rPr>
          <w:rFonts w:ascii="仿宋_GB2312" w:eastAsia="仿宋_GB2312" w:hAnsi="楷体" w:hint="eastAsia"/>
          <w:b/>
          <w:color w:val="auto"/>
          <w:sz w:val="28"/>
          <w:szCs w:val="28"/>
        </w:rPr>
        <w:t>小儿泌尿专业组</w:t>
      </w:r>
      <w:r w:rsidRPr="00CF0FD2">
        <w:rPr>
          <w:rFonts w:ascii="仿宋_GB2312" w:eastAsia="仿宋_GB2312" w:hAnsi="楷体" w:hint="eastAsia"/>
          <w:color w:val="auto"/>
          <w:sz w:val="28"/>
          <w:szCs w:val="28"/>
        </w:rPr>
        <w:t>成立于1984年，在国内率先应用尿道成形不转流和带蒂状包皮瓣尿道成形技术治疗先天性尿道下裂，上世纪八十年代末已达到了尿道下裂一期修复90%左右成功率；并以此为基础，开展了应用解剖、内分泌激素及受体等系列研究，自主开发纵行带蒂岛状包皮瓣技术取得了良好临床效果，为Campbell泌尿外科学推荐，并获得了四川省及卫生部科技进步奖。基于上述工作，小儿泌尿专业组率先应用Koyanagi手术治疗重型尿道下裂，并开展环境内分泌扰乱物在尿道下裂发病机制中的系列研究。近年来，小儿泌尿手术向微创方向发展，开展小切口手术治疗肾积水，重复肾输尿管畸形；腹腔镜手术治疗高位隐睾，肾发育不良切除，肾上腺肿瘤切除，青春期精索静脉曲张症等。对于难治的儿童外伤性后尿道闭锁，无论是尿道套入吻合、经耻骨/会阴后尿道吻合术，以及带蒂皮瓣的尿道间置术，华西小儿泌尿外科均获得了良好的疗效并积累了丰富的经验。新近开展阴蒂包皮瓣尿道成形术治疗女性尿道闭锁，自行设计的Duhemal式直肠袋代膀胱手术、带蒂岛状包皮瓣阴茎成形术治疗完全型隐匿阴茎，远期疗效良好。 在小儿泌尿结石的治疗上运用多种新技术，如：体外震波碎石术（ESWL）,经皮肾镜（PNCL）、膀胱镜、输尿管镜激光碎石术，也取得了良好的效果。</w:t>
      </w:r>
    </w:p>
    <w:p w:rsidR="001B0E7A" w:rsidRPr="00CF0FD2" w:rsidRDefault="001B0E7A" w:rsidP="00CF0FD2">
      <w:pPr>
        <w:pStyle w:val="a7"/>
        <w:snapToGrid w:val="0"/>
        <w:spacing w:before="0" w:beforeAutospacing="0" w:after="0" w:afterAutospacing="0" w:line="400" w:lineRule="exact"/>
        <w:ind w:firstLineChars="200" w:firstLine="560"/>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小儿泌尿专业主要进修内容有：尿道下裂及阴茎下弯畸形的治疗原则及方案，隐匿阴茎、蹼状阴茎、瘢痕束缚阴茎的治疗规范，先天性肾积水，肾、输尿管重复畸形的治疗，神经炎性膀胱，性发育异常，儿童泌尿生殖系肿瘤等的治疗方案。</w:t>
      </w:r>
    </w:p>
    <w:p w:rsidR="001B0E7A" w:rsidRPr="00CF0FD2" w:rsidRDefault="001B0E7A" w:rsidP="00CF0FD2">
      <w:pPr>
        <w:pStyle w:val="a7"/>
        <w:snapToGrid w:val="0"/>
        <w:spacing w:before="0" w:beforeAutospacing="0" w:after="0" w:afterAutospacing="0" w:line="400" w:lineRule="exact"/>
        <w:ind w:firstLineChars="200" w:firstLine="562"/>
        <w:rPr>
          <w:rFonts w:ascii="仿宋_GB2312" w:eastAsia="仿宋_GB2312" w:hAnsi="楷体" w:hint="eastAsia"/>
          <w:color w:val="auto"/>
          <w:sz w:val="28"/>
          <w:szCs w:val="28"/>
        </w:rPr>
      </w:pPr>
      <w:r w:rsidRPr="00CF0FD2">
        <w:rPr>
          <w:rFonts w:ascii="仿宋_GB2312" w:eastAsia="仿宋_GB2312" w:hAnsi="楷体" w:hint="eastAsia"/>
          <w:b/>
          <w:color w:val="auto"/>
          <w:sz w:val="28"/>
          <w:szCs w:val="28"/>
        </w:rPr>
        <w:lastRenderedPageBreak/>
        <w:t>小儿普胸专业组</w:t>
      </w:r>
      <w:r w:rsidRPr="00CF0FD2">
        <w:rPr>
          <w:rFonts w:ascii="仿宋_GB2312" w:eastAsia="仿宋_GB2312" w:hAnsi="楷体" w:hint="eastAsia"/>
          <w:color w:val="auto"/>
          <w:sz w:val="28"/>
          <w:szCs w:val="28"/>
        </w:rPr>
        <w:t xml:space="preserve">与院内成人胸科联合，具有综合医院多科协作的整体优势。在疑难病诊治，包括漏斗胸及其它胸壁畸形、膈疝、食道裂孔疝、食道畸形狭窄、肺囊肿、纵隔肿瘤等诊治方面具有丰富经验。在国内较早开展了Nuss微创漏斗胸矫治手术，截止2011年底，已运用Nuss手术治疗漏斗胸患者四百余例，取得良好疗效。小儿普胸微创手术也广泛应用，目前主要开展胸腔镜下肺叶切除手术、纵隔肿瘤切除手术、食道裂孔疝修补手术等。同时针对先天性膈疝，血管瘤、血管畸形的的发病机制开展了长时间的临床基础系列研究，并获得2008年教育部及省级成果奖。 </w:t>
      </w:r>
    </w:p>
    <w:p w:rsidR="001B0E7A" w:rsidRPr="00CF0FD2" w:rsidRDefault="001B0E7A" w:rsidP="00CF0FD2">
      <w:pPr>
        <w:pStyle w:val="a7"/>
        <w:snapToGrid w:val="0"/>
        <w:spacing w:before="0" w:beforeAutospacing="0" w:after="0" w:afterAutospacing="0" w:line="400" w:lineRule="exact"/>
        <w:ind w:firstLineChars="200" w:firstLine="560"/>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小儿胸科专业主要进修内容有：以小儿胸腔镜微创手术为特色，主要是儿童胸腔镜肺叶/肺段切除术，儿童胸腔镜辅助Nuss微创漏斗胸矫正术，儿童胸腔镜先天性膈疝修补术，儿童胸腔镜纵隔肿瘤切除术，儿童胸腔镜膈肌折叠术，儿童胸腔镜脓胸廓清术+纤维板剥脱术。</w:t>
      </w:r>
    </w:p>
    <w:p w:rsidR="001B0E7A" w:rsidRPr="00CF0FD2" w:rsidRDefault="001B0E7A" w:rsidP="00CF0FD2">
      <w:pPr>
        <w:pStyle w:val="a7"/>
        <w:snapToGrid w:val="0"/>
        <w:spacing w:before="0" w:beforeAutospacing="0" w:after="0" w:afterAutospacing="0" w:line="400" w:lineRule="exact"/>
        <w:ind w:firstLineChars="200" w:firstLine="562"/>
        <w:rPr>
          <w:rFonts w:ascii="仿宋_GB2312" w:eastAsia="仿宋_GB2312" w:hAnsi="楷体" w:hint="eastAsia"/>
          <w:color w:val="auto"/>
          <w:sz w:val="28"/>
          <w:szCs w:val="28"/>
        </w:rPr>
      </w:pPr>
      <w:r w:rsidRPr="00CF0FD2">
        <w:rPr>
          <w:rFonts w:ascii="仿宋_GB2312" w:eastAsia="仿宋_GB2312" w:hAnsi="楷体" w:hint="eastAsia"/>
          <w:b/>
          <w:color w:val="auto"/>
          <w:sz w:val="28"/>
          <w:szCs w:val="28"/>
        </w:rPr>
        <w:t>小儿普外专业组</w:t>
      </w:r>
      <w:r w:rsidRPr="00CF0FD2">
        <w:rPr>
          <w:rFonts w:ascii="仿宋_GB2312" w:eastAsia="仿宋_GB2312" w:hAnsi="楷体" w:hint="eastAsia"/>
          <w:color w:val="auto"/>
          <w:sz w:val="28"/>
          <w:szCs w:val="28"/>
        </w:rPr>
        <w:t>在保持对小儿腹部外科典型疾病诊治的基础上，近年来腔</w:t>
      </w:r>
    </w:p>
    <w:p w:rsidR="001B0E7A" w:rsidRPr="00CF0FD2" w:rsidRDefault="001B0E7A" w:rsidP="00EE7A37">
      <w:pPr>
        <w:pStyle w:val="a7"/>
        <w:snapToGrid w:val="0"/>
        <w:spacing w:before="0" w:beforeAutospacing="0" w:after="0" w:afterAutospacing="0" w:line="400" w:lineRule="exact"/>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镜在小儿普外疾病中得到了广泛应用，并取得了显著成效。目前开展腹腔镜手术主要包括胆囊切除术，脾切除术，大网膜及肠系膜囊肿切除术，美克尔憩室切除术，腹腔镜辅助下巨结肠根治术，胆道闭锁Kaisi手术，胆总管囊肿根治手术、高位无肛重建手术等。自2008年开始进行婴幼儿亲体肝脏移植、异体劈裂式肝脏移植手术，目前最低手术年龄为4月龄；2010年成功完成了胸腹联体儿分离手术。在临床研究方面，主要开展小儿腹部手术围产手术期机体内环境与机体代谢对手术疗效的探讨，小儿肝脏肿瘤、神经母细胞瘤等恶性肿瘤的组织类型与预后关系的探讨，肛门直肠畸形术后大便失禁的防治，先天性巨结肠及巨结肠类疾病相关基因及神经中枢发育异常的研究等，这些研究为进一步提高小儿普外疾病的诊治效果提供了新的参考依据。</w:t>
      </w:r>
    </w:p>
    <w:p w:rsidR="001B0E7A" w:rsidRPr="00CF0FD2" w:rsidRDefault="001B0E7A" w:rsidP="00CF0FD2">
      <w:pPr>
        <w:pStyle w:val="a7"/>
        <w:snapToGrid w:val="0"/>
        <w:spacing w:before="0" w:beforeAutospacing="0" w:after="0" w:afterAutospacing="0" w:line="400" w:lineRule="exact"/>
        <w:ind w:firstLineChars="200" w:firstLine="560"/>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小儿普外专业主要进修内容有：除了小儿外科常见普外疾病的诊治外，还</w:t>
      </w:r>
    </w:p>
    <w:p w:rsidR="001B0E7A" w:rsidRPr="00CF0FD2" w:rsidRDefault="001B0E7A" w:rsidP="00EE7A37">
      <w:pPr>
        <w:pStyle w:val="a7"/>
        <w:snapToGrid w:val="0"/>
        <w:spacing w:before="0" w:beforeAutospacing="0" w:after="0" w:afterAutospacing="0" w:line="400" w:lineRule="exact"/>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包括小儿肝脏移植以及复杂肝脏肿瘤切除术；达芬奇机器人和腹腔镜技术已广泛用于临床：包括开展难度较大的机器人和腹腔镜胆总管囊肿、巨结肠、腹膜后肿瘤和胆道闭锁手术等。</w:t>
      </w:r>
    </w:p>
    <w:p w:rsidR="001B0E7A" w:rsidRPr="00CF0FD2" w:rsidRDefault="001B0E7A" w:rsidP="00CF0FD2">
      <w:pPr>
        <w:pStyle w:val="a7"/>
        <w:snapToGrid w:val="0"/>
        <w:spacing w:before="0" w:beforeAutospacing="0" w:after="0" w:afterAutospacing="0" w:line="400" w:lineRule="exact"/>
        <w:ind w:firstLineChars="200" w:firstLine="562"/>
        <w:rPr>
          <w:rFonts w:ascii="仿宋_GB2312" w:eastAsia="仿宋_GB2312" w:hAnsi="楷体" w:hint="eastAsia"/>
          <w:color w:val="auto"/>
          <w:sz w:val="28"/>
          <w:szCs w:val="28"/>
        </w:rPr>
      </w:pPr>
      <w:r w:rsidRPr="00CF0FD2">
        <w:rPr>
          <w:rFonts w:ascii="仿宋_GB2312" w:eastAsia="仿宋_GB2312" w:hAnsi="楷体" w:hint="eastAsia"/>
          <w:b/>
          <w:color w:val="auto"/>
          <w:sz w:val="28"/>
          <w:szCs w:val="28"/>
        </w:rPr>
        <w:t>新生儿专业组</w:t>
      </w:r>
      <w:r w:rsidRPr="00CF0FD2">
        <w:rPr>
          <w:rFonts w:ascii="仿宋_GB2312" w:eastAsia="仿宋_GB2312" w:hAnsi="楷体" w:hint="eastAsia"/>
          <w:color w:val="auto"/>
          <w:sz w:val="28"/>
          <w:szCs w:val="28"/>
        </w:rPr>
        <w:t>主要收治6个月以内，各种先天性消化道畸形、新生儿外科常见和疑难病症患儿。是国内早期成功实施先天性食道闭锁</w:t>
      </w:r>
      <w:r w:rsidRPr="00CF0FD2">
        <w:rPr>
          <w:rFonts w:ascii="仿宋_GB2312" w:eastAsia="仿宋_GB2312" w:hAnsi="楷体" w:hint="eastAsia"/>
          <w:color w:val="auto"/>
          <w:sz w:val="28"/>
          <w:szCs w:val="28"/>
        </w:rPr>
        <w:lastRenderedPageBreak/>
        <w:t>手术治疗的医学中心之一。目前开展了先天性肠闭锁、先天性肛门直肠畸形、先天性巨结肠、胆道闭锁、脐膨出、腹裂、幽门肥厚性狭窄等多种先天性疾病的手术治疗，疗效满意；同时进行PICC及新生儿静脉营养支持治疗，并逐步开展新生儿腹腔镜手术；与妇产科、新生儿内科配合开展先天性畸形产前诊断、产前咨询及产后治疗等一条龙服务，取得良好社会效益。</w:t>
      </w:r>
    </w:p>
    <w:p w:rsidR="001B0E7A" w:rsidRPr="00CF0FD2" w:rsidRDefault="001B0E7A" w:rsidP="00CF0FD2">
      <w:pPr>
        <w:pStyle w:val="a7"/>
        <w:snapToGrid w:val="0"/>
        <w:spacing w:before="0" w:beforeAutospacing="0" w:after="0" w:afterAutospacing="0" w:line="400" w:lineRule="exact"/>
        <w:ind w:firstLineChars="200" w:firstLine="560"/>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小儿新生儿专业主要进修内容有：除了新生儿消化道畸形，新生儿外科感染性疾病，新生儿肿瘤等，还包括腔镜下胆道闭锁手术（Kasai术式）等高难度腔镜手术技术的学习。</w:t>
      </w:r>
    </w:p>
    <w:p w:rsidR="001B0E7A" w:rsidRPr="00CF0FD2" w:rsidRDefault="001B0E7A" w:rsidP="00CF0FD2">
      <w:pPr>
        <w:pStyle w:val="a7"/>
        <w:snapToGrid w:val="0"/>
        <w:spacing w:before="0" w:beforeAutospacing="0" w:after="0" w:afterAutospacing="0" w:line="400" w:lineRule="exact"/>
        <w:ind w:firstLineChars="200" w:firstLine="560"/>
        <w:rPr>
          <w:rFonts w:ascii="仿宋_GB2312" w:eastAsia="仿宋_GB2312" w:hAnsi="楷体" w:hint="eastAsia"/>
          <w:color w:val="auto"/>
          <w:sz w:val="28"/>
          <w:szCs w:val="28"/>
        </w:rPr>
      </w:pPr>
    </w:p>
    <w:p w:rsidR="001B0E7A" w:rsidRPr="00CF0FD2" w:rsidRDefault="001B0E7A" w:rsidP="00EE7A37">
      <w:pPr>
        <w:pStyle w:val="a7"/>
        <w:snapToGrid w:val="0"/>
        <w:spacing w:before="0" w:beforeAutospacing="0" w:after="0" w:afterAutospacing="0" w:line="400" w:lineRule="exact"/>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2.招生时间及进修期限：</w:t>
      </w:r>
    </w:p>
    <w:p w:rsidR="001B0E7A" w:rsidRPr="00CF0FD2" w:rsidRDefault="001B0E7A" w:rsidP="00C11416">
      <w:pPr>
        <w:pStyle w:val="a7"/>
        <w:snapToGrid w:val="0"/>
        <w:spacing w:before="0" w:beforeAutospacing="0" w:after="0" w:afterAutospacing="0" w:line="400" w:lineRule="exact"/>
        <w:ind w:left="720"/>
        <w:rPr>
          <w:rFonts w:ascii="仿宋_GB2312" w:eastAsia="仿宋_GB2312" w:hAnsi="楷体" w:hint="eastAsia"/>
          <w:color w:val="auto"/>
          <w:sz w:val="28"/>
          <w:szCs w:val="28"/>
        </w:rPr>
      </w:pPr>
      <w:r w:rsidRPr="00CF0FD2">
        <w:rPr>
          <w:rFonts w:ascii="仿宋_GB2312" w:eastAsia="仿宋_GB2312" w:hAnsi="楷体" w:hint="eastAsia"/>
          <w:color w:val="auto"/>
          <w:sz w:val="28"/>
          <w:szCs w:val="28"/>
        </w:rPr>
        <w:t>每年春、秋季招录进修生，进修期限一般为半年或一年。</w:t>
      </w:r>
    </w:p>
    <w:p w:rsidR="001B0E7A" w:rsidRPr="00CF0FD2" w:rsidRDefault="001B0E7A" w:rsidP="00C817CF">
      <w:pPr>
        <w:widowControl/>
        <w:shd w:val="clear" w:color="auto" w:fill="FFFFFF"/>
        <w:spacing w:line="520" w:lineRule="exact"/>
        <w:jc w:val="left"/>
        <w:rPr>
          <w:rFonts w:ascii="仿宋_GB2312" w:eastAsia="仿宋_GB2312" w:hAnsi="楷体" w:cs="宋体" w:hint="eastAsia"/>
          <w:b/>
          <w:color w:val="333333"/>
          <w:kern w:val="0"/>
          <w:sz w:val="28"/>
          <w:szCs w:val="28"/>
          <w:bdr w:val="none" w:sz="0" w:space="0" w:color="auto" w:frame="1"/>
        </w:rPr>
      </w:pPr>
      <w:r w:rsidRPr="00CF0FD2">
        <w:rPr>
          <w:rFonts w:ascii="仿宋_GB2312" w:eastAsia="仿宋_GB2312" w:hAnsi="楷体" w:cs="宋体" w:hint="eastAsia"/>
          <w:b/>
          <w:color w:val="333333"/>
          <w:kern w:val="0"/>
          <w:sz w:val="28"/>
          <w:szCs w:val="28"/>
          <w:bdr w:val="none" w:sz="0" w:space="0" w:color="auto" w:frame="1"/>
        </w:rPr>
        <w:t>附：各专业进修期限安排表</w:t>
      </w:r>
    </w:p>
    <w:tbl>
      <w:tblPr>
        <w:tblW w:w="8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2693"/>
        <w:gridCol w:w="3118"/>
      </w:tblGrid>
      <w:tr w:rsidR="001B0E7A" w:rsidRPr="00CF0FD2">
        <w:tc>
          <w:tcPr>
            <w:tcW w:w="2689" w:type="dxa"/>
          </w:tcPr>
          <w:p w:rsidR="001B0E7A" w:rsidRPr="00CF0FD2" w:rsidRDefault="001B0E7A" w:rsidP="008F00CB">
            <w:pPr>
              <w:widowControl/>
              <w:spacing w:line="520" w:lineRule="exact"/>
              <w:jc w:val="center"/>
              <w:rPr>
                <w:rFonts w:ascii="仿宋_GB2312" w:eastAsia="仿宋_GB2312" w:hAnsi="楷体" w:cs="宋体" w:hint="eastAsia"/>
                <w:b/>
                <w:color w:val="333333"/>
                <w:kern w:val="0"/>
                <w:sz w:val="28"/>
                <w:szCs w:val="28"/>
                <w:bdr w:val="none" w:sz="0" w:space="0" w:color="auto" w:frame="1"/>
              </w:rPr>
            </w:pPr>
            <w:r w:rsidRPr="00CF0FD2">
              <w:rPr>
                <w:rFonts w:ascii="仿宋_GB2312" w:eastAsia="仿宋_GB2312" w:hAnsi="楷体" w:cs="宋体" w:hint="eastAsia"/>
                <w:b/>
                <w:color w:val="333333"/>
                <w:kern w:val="0"/>
                <w:sz w:val="28"/>
                <w:szCs w:val="28"/>
                <w:bdr w:val="none" w:sz="0" w:space="0" w:color="auto" w:frame="1"/>
              </w:rPr>
              <w:t>进修专业</w:t>
            </w:r>
          </w:p>
        </w:tc>
        <w:tc>
          <w:tcPr>
            <w:tcW w:w="2693" w:type="dxa"/>
          </w:tcPr>
          <w:p w:rsidR="001B0E7A" w:rsidRPr="00CF0FD2" w:rsidRDefault="001B0E7A" w:rsidP="008F00CB">
            <w:pPr>
              <w:widowControl/>
              <w:spacing w:line="520" w:lineRule="exact"/>
              <w:jc w:val="center"/>
              <w:rPr>
                <w:rFonts w:ascii="仿宋_GB2312" w:eastAsia="仿宋_GB2312" w:hAnsi="楷体" w:cs="宋体" w:hint="eastAsia"/>
                <w:b/>
                <w:color w:val="333333"/>
                <w:kern w:val="0"/>
                <w:sz w:val="28"/>
                <w:szCs w:val="28"/>
                <w:bdr w:val="none" w:sz="0" w:space="0" w:color="auto" w:frame="1"/>
              </w:rPr>
            </w:pPr>
            <w:r w:rsidRPr="00CF0FD2">
              <w:rPr>
                <w:rFonts w:ascii="仿宋_GB2312" w:eastAsia="仿宋_GB2312" w:hAnsi="楷体" w:cs="宋体" w:hint="eastAsia"/>
                <w:b/>
                <w:color w:val="333333"/>
                <w:kern w:val="0"/>
                <w:sz w:val="28"/>
                <w:szCs w:val="28"/>
                <w:bdr w:val="none" w:sz="0" w:space="0" w:color="auto" w:frame="1"/>
              </w:rPr>
              <w:t>进修期限</w:t>
            </w:r>
          </w:p>
        </w:tc>
        <w:tc>
          <w:tcPr>
            <w:tcW w:w="3118" w:type="dxa"/>
          </w:tcPr>
          <w:p w:rsidR="001B0E7A" w:rsidRPr="00CF0FD2" w:rsidRDefault="001B0E7A" w:rsidP="008F00CB">
            <w:pPr>
              <w:widowControl/>
              <w:spacing w:line="520" w:lineRule="exact"/>
              <w:jc w:val="center"/>
              <w:rPr>
                <w:rFonts w:ascii="仿宋_GB2312" w:eastAsia="仿宋_GB2312" w:hAnsi="楷体" w:cs="宋体" w:hint="eastAsia"/>
                <w:b/>
                <w:color w:val="333333"/>
                <w:kern w:val="0"/>
                <w:sz w:val="28"/>
                <w:szCs w:val="28"/>
                <w:bdr w:val="none" w:sz="0" w:space="0" w:color="auto" w:frame="1"/>
              </w:rPr>
            </w:pPr>
            <w:r w:rsidRPr="00CF0FD2">
              <w:rPr>
                <w:rFonts w:ascii="仿宋_GB2312" w:eastAsia="仿宋_GB2312" w:hAnsi="楷体" w:cs="宋体" w:hint="eastAsia"/>
                <w:b/>
                <w:color w:val="333333"/>
                <w:kern w:val="0"/>
                <w:sz w:val="28"/>
                <w:szCs w:val="28"/>
                <w:bdr w:val="none" w:sz="0" w:space="0" w:color="auto" w:frame="1"/>
              </w:rPr>
              <w:t>每一年度招录人数</w:t>
            </w:r>
          </w:p>
        </w:tc>
      </w:tr>
      <w:tr w:rsidR="007D3B1B" w:rsidRPr="00CF0FD2">
        <w:tc>
          <w:tcPr>
            <w:tcW w:w="2689" w:type="dxa"/>
          </w:tcPr>
          <w:p w:rsidR="007D3B1B" w:rsidRPr="00CF0FD2" w:rsidRDefault="007D3B1B" w:rsidP="00B12F06">
            <w:pPr>
              <w:widowControl/>
              <w:spacing w:line="520" w:lineRule="exact"/>
              <w:jc w:val="center"/>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小儿骨科</w:t>
            </w:r>
          </w:p>
        </w:tc>
        <w:tc>
          <w:tcPr>
            <w:tcW w:w="2693" w:type="dxa"/>
          </w:tcPr>
          <w:p w:rsidR="007D3B1B" w:rsidRPr="00CF0FD2" w:rsidRDefault="007D3B1B" w:rsidP="00CF0FD2">
            <w:pPr>
              <w:widowControl/>
              <w:spacing w:line="520" w:lineRule="exact"/>
              <w:jc w:val="center"/>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半年</w:t>
            </w:r>
            <w:r w:rsidR="00CF0FD2">
              <w:rPr>
                <w:rFonts w:ascii="仿宋_GB2312" w:eastAsia="仿宋_GB2312" w:hAnsi="楷体" w:cs="宋体" w:hint="eastAsia"/>
                <w:color w:val="333333"/>
                <w:kern w:val="0"/>
                <w:sz w:val="28"/>
                <w:szCs w:val="28"/>
                <w:bdr w:val="none" w:sz="0" w:space="0" w:color="auto" w:frame="1"/>
              </w:rPr>
              <w:t>、一年</w:t>
            </w:r>
          </w:p>
        </w:tc>
        <w:tc>
          <w:tcPr>
            <w:tcW w:w="3118" w:type="dxa"/>
            <w:vMerge w:val="restart"/>
          </w:tcPr>
          <w:p w:rsidR="007D3B1B" w:rsidRPr="00CF0FD2" w:rsidRDefault="007D3B1B" w:rsidP="008F00CB">
            <w:pPr>
              <w:widowControl/>
              <w:spacing w:line="520" w:lineRule="exact"/>
              <w:jc w:val="center"/>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不限</w:t>
            </w:r>
          </w:p>
          <w:p w:rsidR="007D3B1B" w:rsidRPr="00CF0FD2" w:rsidRDefault="007D3B1B" w:rsidP="008F00CB">
            <w:pPr>
              <w:spacing w:line="520" w:lineRule="exact"/>
              <w:jc w:val="center"/>
              <w:rPr>
                <w:rFonts w:ascii="仿宋_GB2312" w:eastAsia="仿宋_GB2312" w:hAnsi="楷体" w:cs="宋体" w:hint="eastAsia"/>
                <w:color w:val="333333"/>
                <w:kern w:val="0"/>
                <w:sz w:val="28"/>
                <w:szCs w:val="28"/>
                <w:bdr w:val="none" w:sz="0" w:space="0" w:color="auto" w:frame="1"/>
              </w:rPr>
            </w:pPr>
          </w:p>
        </w:tc>
      </w:tr>
      <w:tr w:rsidR="007D3B1B" w:rsidRPr="00CF0FD2">
        <w:tc>
          <w:tcPr>
            <w:tcW w:w="2689" w:type="dxa"/>
          </w:tcPr>
          <w:p w:rsidR="007D3B1B" w:rsidRPr="00CF0FD2" w:rsidRDefault="007D3B1B" w:rsidP="00B12F06">
            <w:pPr>
              <w:widowControl/>
              <w:spacing w:line="520" w:lineRule="exact"/>
              <w:jc w:val="center"/>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小儿泌尿</w:t>
            </w:r>
          </w:p>
        </w:tc>
        <w:tc>
          <w:tcPr>
            <w:tcW w:w="2693" w:type="dxa"/>
          </w:tcPr>
          <w:p w:rsidR="007D3B1B" w:rsidRPr="00CF0FD2" w:rsidRDefault="00CF0FD2" w:rsidP="00F1759F">
            <w:pPr>
              <w:widowControl/>
              <w:spacing w:line="520" w:lineRule="exact"/>
              <w:jc w:val="center"/>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半年</w:t>
            </w:r>
            <w:r>
              <w:rPr>
                <w:rFonts w:ascii="仿宋_GB2312" w:eastAsia="仿宋_GB2312" w:hAnsi="楷体" w:cs="宋体" w:hint="eastAsia"/>
                <w:color w:val="333333"/>
                <w:kern w:val="0"/>
                <w:sz w:val="28"/>
                <w:szCs w:val="28"/>
                <w:bdr w:val="none" w:sz="0" w:space="0" w:color="auto" w:frame="1"/>
              </w:rPr>
              <w:t>、一年</w:t>
            </w:r>
          </w:p>
        </w:tc>
        <w:tc>
          <w:tcPr>
            <w:tcW w:w="3118" w:type="dxa"/>
            <w:vMerge/>
          </w:tcPr>
          <w:p w:rsidR="007D3B1B" w:rsidRPr="00CF0FD2" w:rsidRDefault="007D3B1B" w:rsidP="008F00CB">
            <w:pPr>
              <w:spacing w:line="520" w:lineRule="exact"/>
              <w:jc w:val="center"/>
              <w:rPr>
                <w:rFonts w:ascii="仿宋_GB2312" w:eastAsia="仿宋_GB2312" w:hAnsi="楷体" w:cs="宋体" w:hint="eastAsia"/>
                <w:color w:val="333333"/>
                <w:kern w:val="0"/>
                <w:sz w:val="28"/>
                <w:szCs w:val="28"/>
                <w:bdr w:val="none" w:sz="0" w:space="0" w:color="auto" w:frame="1"/>
              </w:rPr>
            </w:pPr>
          </w:p>
        </w:tc>
      </w:tr>
      <w:tr w:rsidR="007D3B1B" w:rsidRPr="00CF0FD2">
        <w:tc>
          <w:tcPr>
            <w:tcW w:w="2689" w:type="dxa"/>
          </w:tcPr>
          <w:p w:rsidR="007D3B1B" w:rsidRPr="00CF0FD2" w:rsidRDefault="007D3B1B" w:rsidP="00B12F06">
            <w:pPr>
              <w:widowControl/>
              <w:spacing w:line="520" w:lineRule="exact"/>
              <w:jc w:val="center"/>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小儿</w:t>
            </w:r>
            <w:r w:rsidR="00CF0FD2">
              <w:rPr>
                <w:rFonts w:ascii="仿宋_GB2312" w:eastAsia="仿宋_GB2312" w:hAnsi="楷体" w:cs="宋体" w:hint="eastAsia"/>
                <w:color w:val="333333"/>
                <w:kern w:val="0"/>
                <w:sz w:val="28"/>
                <w:szCs w:val="28"/>
                <w:bdr w:val="none" w:sz="0" w:space="0" w:color="auto" w:frame="1"/>
              </w:rPr>
              <w:t>普胸</w:t>
            </w:r>
          </w:p>
        </w:tc>
        <w:tc>
          <w:tcPr>
            <w:tcW w:w="2693" w:type="dxa"/>
          </w:tcPr>
          <w:p w:rsidR="007D3B1B" w:rsidRPr="00CF0FD2" w:rsidRDefault="00CF0FD2" w:rsidP="008F00CB">
            <w:pPr>
              <w:widowControl/>
              <w:spacing w:line="520" w:lineRule="exact"/>
              <w:jc w:val="center"/>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半年</w:t>
            </w:r>
            <w:r>
              <w:rPr>
                <w:rFonts w:ascii="仿宋_GB2312" w:eastAsia="仿宋_GB2312" w:hAnsi="楷体" w:cs="宋体" w:hint="eastAsia"/>
                <w:color w:val="333333"/>
                <w:kern w:val="0"/>
                <w:sz w:val="28"/>
                <w:szCs w:val="28"/>
                <w:bdr w:val="none" w:sz="0" w:space="0" w:color="auto" w:frame="1"/>
              </w:rPr>
              <w:t>、一年</w:t>
            </w:r>
          </w:p>
        </w:tc>
        <w:tc>
          <w:tcPr>
            <w:tcW w:w="3118" w:type="dxa"/>
            <w:vMerge/>
          </w:tcPr>
          <w:p w:rsidR="007D3B1B" w:rsidRPr="00CF0FD2" w:rsidRDefault="007D3B1B" w:rsidP="008F00CB">
            <w:pPr>
              <w:spacing w:line="520" w:lineRule="exact"/>
              <w:jc w:val="center"/>
              <w:rPr>
                <w:rFonts w:ascii="仿宋_GB2312" w:eastAsia="仿宋_GB2312" w:hAnsi="楷体" w:cs="宋体" w:hint="eastAsia"/>
                <w:color w:val="333333"/>
                <w:kern w:val="0"/>
                <w:sz w:val="28"/>
                <w:szCs w:val="28"/>
                <w:bdr w:val="none" w:sz="0" w:space="0" w:color="auto" w:frame="1"/>
              </w:rPr>
            </w:pPr>
          </w:p>
        </w:tc>
      </w:tr>
      <w:tr w:rsidR="007D3B1B" w:rsidRPr="00CF0FD2">
        <w:tc>
          <w:tcPr>
            <w:tcW w:w="2689" w:type="dxa"/>
          </w:tcPr>
          <w:p w:rsidR="007D3B1B" w:rsidRPr="00CF0FD2" w:rsidRDefault="007D3B1B" w:rsidP="00B12F06">
            <w:pPr>
              <w:widowControl/>
              <w:spacing w:line="520" w:lineRule="exact"/>
              <w:jc w:val="center"/>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小儿普外</w:t>
            </w:r>
          </w:p>
        </w:tc>
        <w:tc>
          <w:tcPr>
            <w:tcW w:w="2693" w:type="dxa"/>
          </w:tcPr>
          <w:p w:rsidR="007D3B1B" w:rsidRPr="00CF0FD2" w:rsidRDefault="00CF0FD2" w:rsidP="008F00CB">
            <w:pPr>
              <w:widowControl/>
              <w:spacing w:line="520" w:lineRule="exact"/>
              <w:jc w:val="center"/>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半年</w:t>
            </w:r>
            <w:r>
              <w:rPr>
                <w:rFonts w:ascii="仿宋_GB2312" w:eastAsia="仿宋_GB2312" w:hAnsi="楷体" w:cs="宋体" w:hint="eastAsia"/>
                <w:color w:val="333333"/>
                <w:kern w:val="0"/>
                <w:sz w:val="28"/>
                <w:szCs w:val="28"/>
                <w:bdr w:val="none" w:sz="0" w:space="0" w:color="auto" w:frame="1"/>
              </w:rPr>
              <w:t>、一年</w:t>
            </w:r>
          </w:p>
        </w:tc>
        <w:tc>
          <w:tcPr>
            <w:tcW w:w="3118" w:type="dxa"/>
            <w:vMerge/>
          </w:tcPr>
          <w:p w:rsidR="007D3B1B" w:rsidRPr="00CF0FD2" w:rsidRDefault="007D3B1B" w:rsidP="008F00CB">
            <w:pPr>
              <w:spacing w:line="520" w:lineRule="exact"/>
              <w:jc w:val="center"/>
              <w:rPr>
                <w:rFonts w:ascii="仿宋_GB2312" w:eastAsia="仿宋_GB2312" w:hAnsi="楷体" w:cs="宋体" w:hint="eastAsia"/>
                <w:color w:val="333333"/>
                <w:kern w:val="0"/>
                <w:sz w:val="28"/>
                <w:szCs w:val="28"/>
                <w:bdr w:val="none" w:sz="0" w:space="0" w:color="auto" w:frame="1"/>
              </w:rPr>
            </w:pPr>
          </w:p>
        </w:tc>
      </w:tr>
      <w:tr w:rsidR="007D3B1B" w:rsidRPr="00CF0FD2">
        <w:tc>
          <w:tcPr>
            <w:tcW w:w="2689" w:type="dxa"/>
          </w:tcPr>
          <w:p w:rsidR="007D3B1B" w:rsidRPr="00CF0FD2" w:rsidRDefault="007D3B1B" w:rsidP="00B12F06">
            <w:pPr>
              <w:widowControl/>
              <w:spacing w:line="520" w:lineRule="exact"/>
              <w:jc w:val="center"/>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新生儿</w:t>
            </w:r>
          </w:p>
        </w:tc>
        <w:tc>
          <w:tcPr>
            <w:tcW w:w="2693" w:type="dxa"/>
          </w:tcPr>
          <w:p w:rsidR="007D3B1B" w:rsidRPr="00CF0FD2" w:rsidRDefault="00CF0FD2" w:rsidP="008F00CB">
            <w:pPr>
              <w:widowControl/>
              <w:spacing w:line="520" w:lineRule="exact"/>
              <w:jc w:val="center"/>
              <w:rPr>
                <w:rFonts w:ascii="仿宋_GB2312" w:eastAsia="仿宋_GB2312" w:hAnsi="楷体" w:cs="宋体" w:hint="eastAsia"/>
                <w:color w:val="333333"/>
                <w:kern w:val="0"/>
                <w:sz w:val="28"/>
                <w:szCs w:val="28"/>
                <w:bdr w:val="none" w:sz="0" w:space="0" w:color="auto" w:frame="1"/>
              </w:rPr>
            </w:pPr>
            <w:r w:rsidRPr="00CF0FD2">
              <w:rPr>
                <w:rFonts w:ascii="仿宋_GB2312" w:eastAsia="仿宋_GB2312" w:hAnsi="楷体" w:cs="宋体" w:hint="eastAsia"/>
                <w:color w:val="333333"/>
                <w:kern w:val="0"/>
                <w:sz w:val="28"/>
                <w:szCs w:val="28"/>
                <w:bdr w:val="none" w:sz="0" w:space="0" w:color="auto" w:frame="1"/>
              </w:rPr>
              <w:t>半年</w:t>
            </w:r>
            <w:r>
              <w:rPr>
                <w:rFonts w:ascii="仿宋_GB2312" w:eastAsia="仿宋_GB2312" w:hAnsi="楷体" w:cs="宋体" w:hint="eastAsia"/>
                <w:color w:val="333333"/>
                <w:kern w:val="0"/>
                <w:sz w:val="28"/>
                <w:szCs w:val="28"/>
                <w:bdr w:val="none" w:sz="0" w:space="0" w:color="auto" w:frame="1"/>
              </w:rPr>
              <w:t>、一年</w:t>
            </w:r>
          </w:p>
        </w:tc>
        <w:tc>
          <w:tcPr>
            <w:tcW w:w="3118" w:type="dxa"/>
            <w:vMerge/>
          </w:tcPr>
          <w:p w:rsidR="007D3B1B" w:rsidRPr="00CF0FD2" w:rsidRDefault="007D3B1B" w:rsidP="008F00CB">
            <w:pPr>
              <w:widowControl/>
              <w:spacing w:line="520" w:lineRule="exact"/>
              <w:jc w:val="center"/>
              <w:rPr>
                <w:rFonts w:ascii="仿宋_GB2312" w:eastAsia="仿宋_GB2312" w:hAnsi="楷体" w:cs="宋体" w:hint="eastAsia"/>
                <w:color w:val="333333"/>
                <w:kern w:val="0"/>
                <w:sz w:val="28"/>
                <w:szCs w:val="28"/>
                <w:bdr w:val="none" w:sz="0" w:space="0" w:color="auto" w:frame="1"/>
              </w:rPr>
            </w:pPr>
          </w:p>
        </w:tc>
      </w:tr>
    </w:tbl>
    <w:p w:rsidR="001B0E7A" w:rsidRPr="00CF0FD2" w:rsidRDefault="001B0E7A" w:rsidP="00CF3048">
      <w:pPr>
        <w:widowControl/>
        <w:shd w:val="clear" w:color="auto" w:fill="FFFFFF"/>
        <w:spacing w:line="520" w:lineRule="exact"/>
        <w:ind w:left="709"/>
        <w:jc w:val="left"/>
        <w:rPr>
          <w:rFonts w:ascii="仿宋_GB2312" w:eastAsia="仿宋_GB2312" w:hAnsi="楷体" w:cs="宋体" w:hint="eastAsia"/>
          <w:b/>
          <w:bCs/>
          <w:color w:val="333333"/>
          <w:kern w:val="0"/>
          <w:sz w:val="28"/>
          <w:szCs w:val="28"/>
          <w:bdr w:val="none" w:sz="0" w:space="0" w:color="auto" w:frame="1"/>
        </w:rPr>
      </w:pPr>
    </w:p>
    <w:p w:rsidR="001B0E7A" w:rsidRPr="00CF0FD2" w:rsidRDefault="001B0E7A" w:rsidP="00CF3048">
      <w:pPr>
        <w:widowControl/>
        <w:shd w:val="clear" w:color="auto" w:fill="FFFFFF"/>
        <w:spacing w:line="520" w:lineRule="exact"/>
        <w:jc w:val="left"/>
        <w:rPr>
          <w:rFonts w:ascii="仿宋_GB2312" w:eastAsia="仿宋_GB2312" w:hAnsi="楷体" w:cs="宋体" w:hint="eastAsia"/>
          <w:b/>
          <w:bCs/>
          <w:color w:val="333333"/>
          <w:kern w:val="0"/>
          <w:sz w:val="28"/>
          <w:szCs w:val="28"/>
          <w:bdr w:val="none" w:sz="0" w:space="0" w:color="auto" w:frame="1"/>
        </w:rPr>
      </w:pPr>
      <w:r w:rsidRPr="00CF0FD2">
        <w:rPr>
          <w:rFonts w:ascii="仿宋_GB2312" w:eastAsia="仿宋_GB2312" w:hAnsi="楷体" w:cs="宋体" w:hint="eastAsia"/>
          <w:b/>
          <w:bCs/>
          <w:color w:val="333333"/>
          <w:kern w:val="0"/>
          <w:sz w:val="28"/>
          <w:szCs w:val="28"/>
          <w:bdr w:val="none" w:sz="0" w:space="0" w:color="auto" w:frame="1"/>
        </w:rPr>
        <w:t>三、培养方案</w:t>
      </w:r>
    </w:p>
    <w:p w:rsidR="001B0E7A" w:rsidRPr="00CF0FD2" w:rsidRDefault="001B0E7A" w:rsidP="00C817CF">
      <w:pPr>
        <w:widowControl/>
        <w:shd w:val="clear" w:color="auto" w:fill="FFFFFF"/>
        <w:spacing w:line="520" w:lineRule="exact"/>
        <w:jc w:val="left"/>
        <w:rPr>
          <w:rFonts w:ascii="仿宋_GB2312" w:eastAsia="仿宋_GB2312" w:hAnsi="楷体" w:cs="宋体" w:hint="eastAsia"/>
          <w:b/>
          <w:color w:val="333333"/>
          <w:kern w:val="0"/>
          <w:sz w:val="28"/>
          <w:szCs w:val="28"/>
        </w:rPr>
      </w:pPr>
      <w:r w:rsidRPr="00CF0FD2">
        <w:rPr>
          <w:rFonts w:ascii="仿宋_GB2312" w:eastAsia="仿宋_GB2312" w:hAnsi="楷体" w:cs="宋体" w:hint="eastAsia"/>
          <w:b/>
          <w:color w:val="333333"/>
          <w:kern w:val="0"/>
          <w:sz w:val="28"/>
          <w:szCs w:val="28"/>
        </w:rPr>
        <w:t>附：各进修专业培养方案</w:t>
      </w:r>
    </w:p>
    <w:tbl>
      <w:tblPr>
        <w:tblW w:w="86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8"/>
        <w:gridCol w:w="1276"/>
        <w:gridCol w:w="1276"/>
        <w:gridCol w:w="1701"/>
        <w:gridCol w:w="2914"/>
      </w:tblGrid>
      <w:tr w:rsidR="001B0E7A" w:rsidRPr="00CF0FD2" w:rsidTr="00CF0FD2">
        <w:tc>
          <w:tcPr>
            <w:tcW w:w="1488" w:type="dxa"/>
          </w:tcPr>
          <w:p w:rsidR="001B0E7A" w:rsidRPr="00CF0FD2" w:rsidRDefault="001B0E7A" w:rsidP="008F00CB">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进修专业</w:t>
            </w:r>
          </w:p>
        </w:tc>
        <w:tc>
          <w:tcPr>
            <w:tcW w:w="1276" w:type="dxa"/>
          </w:tcPr>
          <w:p w:rsidR="00CF0FD2" w:rsidRDefault="001B0E7A" w:rsidP="008F00CB">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学习</w:t>
            </w:r>
          </w:p>
          <w:p w:rsidR="001B0E7A" w:rsidRPr="00CF0FD2" w:rsidRDefault="001B0E7A" w:rsidP="008F00CB">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内容</w:t>
            </w:r>
          </w:p>
        </w:tc>
        <w:tc>
          <w:tcPr>
            <w:tcW w:w="1276" w:type="dxa"/>
          </w:tcPr>
          <w:p w:rsidR="00CF0FD2" w:rsidRDefault="001B0E7A" w:rsidP="008F00CB">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带教</w:t>
            </w:r>
          </w:p>
          <w:p w:rsidR="001B0E7A" w:rsidRPr="00CF0FD2" w:rsidRDefault="001B0E7A" w:rsidP="008F00CB">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方法</w:t>
            </w:r>
          </w:p>
        </w:tc>
        <w:tc>
          <w:tcPr>
            <w:tcW w:w="1701" w:type="dxa"/>
          </w:tcPr>
          <w:p w:rsidR="00CF0FD2" w:rsidRDefault="001B0E7A" w:rsidP="008F00CB">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结业考核</w:t>
            </w:r>
          </w:p>
          <w:p w:rsidR="001B0E7A" w:rsidRPr="00CF0FD2" w:rsidRDefault="001B0E7A" w:rsidP="008F00CB">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方式</w:t>
            </w:r>
          </w:p>
        </w:tc>
        <w:tc>
          <w:tcPr>
            <w:tcW w:w="2914" w:type="dxa"/>
          </w:tcPr>
          <w:p w:rsidR="001B0E7A" w:rsidRPr="00CF0FD2" w:rsidRDefault="001B0E7A" w:rsidP="008F00CB">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进修学习后应达到的水平</w:t>
            </w:r>
          </w:p>
        </w:tc>
      </w:tr>
      <w:tr w:rsidR="00B12F06" w:rsidRPr="00CF0FD2" w:rsidTr="00CF0FD2">
        <w:trPr>
          <w:trHeight w:val="3640"/>
        </w:trPr>
        <w:tc>
          <w:tcPr>
            <w:tcW w:w="1488" w:type="dxa"/>
          </w:tcPr>
          <w:p w:rsidR="00B12F06" w:rsidRPr="00CF0FD2" w:rsidRDefault="00F1759F" w:rsidP="00B12F06">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lastRenderedPageBreak/>
              <w:t>小儿骨科</w:t>
            </w:r>
          </w:p>
          <w:p w:rsidR="00F1759F" w:rsidRPr="00CF0FD2" w:rsidRDefault="00F1759F" w:rsidP="00B12F06">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小儿泌尿</w:t>
            </w:r>
          </w:p>
          <w:p w:rsidR="00F1759F" w:rsidRPr="00CF0FD2" w:rsidRDefault="00F1759F" w:rsidP="00B12F06">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小儿胸科</w:t>
            </w:r>
          </w:p>
          <w:p w:rsidR="00F1759F" w:rsidRPr="00CF0FD2" w:rsidRDefault="00F1759F" w:rsidP="00B12F06">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小儿普外</w:t>
            </w:r>
          </w:p>
          <w:p w:rsidR="00F1759F" w:rsidRPr="00CF0FD2" w:rsidRDefault="00F1759F" w:rsidP="00B12F06">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新生儿</w:t>
            </w:r>
          </w:p>
          <w:p w:rsidR="00B12F06" w:rsidRPr="00CF0FD2" w:rsidRDefault="00B12F06" w:rsidP="008F00CB">
            <w:pPr>
              <w:spacing w:line="520" w:lineRule="exact"/>
              <w:jc w:val="left"/>
              <w:rPr>
                <w:rFonts w:ascii="仿宋_GB2312" w:eastAsia="仿宋_GB2312" w:hAnsi="楷体" w:cs="宋体" w:hint="eastAsia"/>
                <w:color w:val="333333"/>
                <w:kern w:val="0"/>
                <w:sz w:val="28"/>
                <w:szCs w:val="28"/>
              </w:rPr>
            </w:pPr>
          </w:p>
        </w:tc>
        <w:tc>
          <w:tcPr>
            <w:tcW w:w="1276" w:type="dxa"/>
          </w:tcPr>
          <w:p w:rsidR="00B12F06" w:rsidRPr="00CF0FD2" w:rsidRDefault="00B12F06" w:rsidP="008F00CB">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常见疾病的诊治和部分感兴趣的特色技术</w:t>
            </w:r>
          </w:p>
          <w:p w:rsidR="00B12F06" w:rsidRPr="00CF0FD2" w:rsidRDefault="00B12F06" w:rsidP="003A59BE">
            <w:pPr>
              <w:rPr>
                <w:rFonts w:ascii="仿宋_GB2312" w:eastAsia="仿宋_GB2312" w:hAnsi="楷体" w:cs="宋体" w:hint="eastAsia"/>
                <w:color w:val="333333"/>
                <w:kern w:val="0"/>
                <w:sz w:val="28"/>
                <w:szCs w:val="28"/>
              </w:rPr>
            </w:pPr>
          </w:p>
        </w:tc>
        <w:tc>
          <w:tcPr>
            <w:tcW w:w="1276" w:type="dxa"/>
          </w:tcPr>
          <w:p w:rsidR="00B12F06" w:rsidRPr="00CF0FD2" w:rsidRDefault="00B12F06" w:rsidP="008F00CB">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病房轮转学习、疑难病例分析讨论、参加手术观摩及跟台操作</w:t>
            </w:r>
          </w:p>
        </w:tc>
        <w:tc>
          <w:tcPr>
            <w:tcW w:w="1701" w:type="dxa"/>
          </w:tcPr>
          <w:p w:rsidR="00B12F06" w:rsidRPr="00CF0FD2" w:rsidRDefault="00B12F06" w:rsidP="008F00CB">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结业笔试或加临床操作考核</w:t>
            </w:r>
          </w:p>
        </w:tc>
        <w:tc>
          <w:tcPr>
            <w:tcW w:w="2914" w:type="dxa"/>
          </w:tcPr>
          <w:p w:rsidR="00B12F06" w:rsidRPr="00CF0FD2" w:rsidRDefault="00B12F06" w:rsidP="008F00CB">
            <w:pPr>
              <w:widowControl/>
              <w:spacing w:line="520" w:lineRule="exact"/>
              <w:jc w:val="left"/>
              <w:rPr>
                <w:rFonts w:ascii="仿宋_GB2312" w:eastAsia="仿宋_GB2312" w:hAnsi="楷体" w:cs="宋体" w:hint="eastAsia"/>
                <w:color w:val="333333"/>
                <w:kern w:val="0"/>
                <w:sz w:val="28"/>
                <w:szCs w:val="28"/>
              </w:rPr>
            </w:pPr>
            <w:r w:rsidRPr="00CF0FD2">
              <w:rPr>
                <w:rFonts w:ascii="仿宋_GB2312" w:eastAsia="仿宋_GB2312" w:hAnsi="楷体" w:cs="宋体" w:hint="eastAsia"/>
                <w:color w:val="333333"/>
                <w:kern w:val="0"/>
                <w:sz w:val="28"/>
                <w:szCs w:val="28"/>
              </w:rPr>
              <w:t>掌握相应亚专业常见疾病诊治；掌握相应亚专业外科手术原则及基本操作；熟悉相应亚专业外科围术期处理原则</w:t>
            </w:r>
          </w:p>
        </w:tc>
      </w:tr>
    </w:tbl>
    <w:p w:rsidR="001B0E7A" w:rsidRPr="00CF0FD2" w:rsidRDefault="001B0E7A" w:rsidP="00C817CF">
      <w:pPr>
        <w:widowControl/>
        <w:shd w:val="clear" w:color="auto" w:fill="FFFFFF"/>
        <w:spacing w:line="520" w:lineRule="exact"/>
        <w:jc w:val="left"/>
        <w:rPr>
          <w:rFonts w:ascii="仿宋_GB2312" w:eastAsia="仿宋_GB2312" w:hAnsi="楷体" w:cs="宋体" w:hint="eastAsia"/>
          <w:b/>
          <w:bCs/>
          <w:color w:val="333333"/>
          <w:kern w:val="0"/>
          <w:sz w:val="28"/>
          <w:szCs w:val="28"/>
        </w:rPr>
      </w:pPr>
    </w:p>
    <w:p w:rsidR="001B0E7A" w:rsidRPr="00CF0FD2" w:rsidRDefault="001B0E7A" w:rsidP="00C817CF">
      <w:pPr>
        <w:widowControl/>
        <w:shd w:val="clear" w:color="auto" w:fill="FFFFFF"/>
        <w:spacing w:line="520" w:lineRule="exact"/>
        <w:jc w:val="left"/>
        <w:rPr>
          <w:rFonts w:ascii="仿宋_GB2312" w:eastAsia="仿宋_GB2312" w:hAnsi="楷体" w:cs="宋体" w:hint="eastAsia"/>
          <w:b/>
          <w:bCs/>
          <w:color w:val="333333"/>
          <w:kern w:val="0"/>
          <w:sz w:val="28"/>
          <w:szCs w:val="28"/>
        </w:rPr>
      </w:pPr>
      <w:r w:rsidRPr="00CF0FD2">
        <w:rPr>
          <w:rFonts w:ascii="仿宋_GB2312" w:eastAsia="仿宋_GB2312" w:hAnsi="楷体" w:cs="宋体" w:hint="eastAsia"/>
          <w:b/>
          <w:bCs/>
          <w:color w:val="333333"/>
          <w:kern w:val="0"/>
          <w:sz w:val="28"/>
          <w:szCs w:val="28"/>
        </w:rPr>
        <w:t>四、进修学员资质要求</w:t>
      </w:r>
    </w:p>
    <w:p w:rsidR="001B0E7A" w:rsidRPr="00CF0FD2" w:rsidRDefault="001B0E7A" w:rsidP="00FA3118">
      <w:pPr>
        <w:ind w:firstLineChars="100" w:firstLine="280"/>
        <w:rPr>
          <w:rFonts w:ascii="仿宋_GB2312" w:eastAsia="仿宋_GB2312" w:hAnsi="楷体" w:hint="eastAsia"/>
          <w:sz w:val="28"/>
          <w:szCs w:val="28"/>
        </w:rPr>
      </w:pPr>
      <w:r w:rsidRPr="00CF0FD2">
        <w:rPr>
          <w:rFonts w:ascii="仿宋_GB2312" w:eastAsia="仿宋_GB2312" w:hAnsi="楷体" w:cs="宋体" w:hint="eastAsia"/>
          <w:bCs/>
          <w:color w:val="333333"/>
          <w:kern w:val="0"/>
          <w:sz w:val="28"/>
          <w:szCs w:val="28"/>
          <w:bdr w:val="none" w:sz="0" w:space="0" w:color="auto" w:frame="1"/>
        </w:rPr>
        <w:t>已取得国家执业医师资格、有志于进修后回所在单位从事小儿外科相关专业工作的医师，包括但不限于在各儿童专科医院、中医院及综合性医院的胸外、骨科、普外、泌尿及新生儿外科等专业医师。</w:t>
      </w:r>
    </w:p>
    <w:sectPr w:rsidR="001B0E7A" w:rsidRPr="00CF0FD2" w:rsidSect="00DB56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0F4" w:rsidRDefault="00DE30F4" w:rsidP="00C817CF">
      <w:r>
        <w:separator/>
      </w:r>
    </w:p>
  </w:endnote>
  <w:endnote w:type="continuationSeparator" w:id="1">
    <w:p w:rsidR="00DE30F4" w:rsidRDefault="00DE30F4" w:rsidP="00C81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0F4" w:rsidRDefault="00DE30F4" w:rsidP="00C817CF">
      <w:r>
        <w:separator/>
      </w:r>
    </w:p>
  </w:footnote>
  <w:footnote w:type="continuationSeparator" w:id="1">
    <w:p w:rsidR="00DE30F4" w:rsidRDefault="00DE30F4" w:rsidP="00C81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253C"/>
    <w:multiLevelType w:val="hybridMultilevel"/>
    <w:tmpl w:val="79BCC36A"/>
    <w:lvl w:ilvl="0" w:tplc="09CA062E">
      <w:start w:val="1"/>
      <w:numFmt w:val="japaneseCounting"/>
      <w:lvlText w:val="%1、"/>
      <w:lvlJc w:val="left"/>
      <w:pPr>
        <w:ind w:left="1429"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7CF"/>
    <w:rsid w:val="001B0E7A"/>
    <w:rsid w:val="001F06AD"/>
    <w:rsid w:val="003A59BE"/>
    <w:rsid w:val="003E57E8"/>
    <w:rsid w:val="00477F10"/>
    <w:rsid w:val="005A30CA"/>
    <w:rsid w:val="00746F17"/>
    <w:rsid w:val="00761BE1"/>
    <w:rsid w:val="007D3B1B"/>
    <w:rsid w:val="008611C4"/>
    <w:rsid w:val="008F00CB"/>
    <w:rsid w:val="00932E16"/>
    <w:rsid w:val="009B6425"/>
    <w:rsid w:val="00B12F06"/>
    <w:rsid w:val="00B918A5"/>
    <w:rsid w:val="00BF78C5"/>
    <w:rsid w:val="00C02020"/>
    <w:rsid w:val="00C11416"/>
    <w:rsid w:val="00C817CF"/>
    <w:rsid w:val="00CF0FD2"/>
    <w:rsid w:val="00CF3048"/>
    <w:rsid w:val="00DB5695"/>
    <w:rsid w:val="00DE30F4"/>
    <w:rsid w:val="00EE7A37"/>
    <w:rsid w:val="00F1759F"/>
    <w:rsid w:val="00F459B7"/>
    <w:rsid w:val="00FA31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81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817CF"/>
    <w:rPr>
      <w:rFonts w:cs="Times New Roman"/>
      <w:sz w:val="18"/>
      <w:szCs w:val="18"/>
    </w:rPr>
  </w:style>
  <w:style w:type="paragraph" w:styleId="a4">
    <w:name w:val="footer"/>
    <w:basedOn w:val="a"/>
    <w:link w:val="Char0"/>
    <w:uiPriority w:val="99"/>
    <w:semiHidden/>
    <w:rsid w:val="00C817C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817CF"/>
    <w:rPr>
      <w:rFonts w:cs="Times New Roman"/>
      <w:sz w:val="18"/>
      <w:szCs w:val="18"/>
    </w:rPr>
  </w:style>
  <w:style w:type="paragraph" w:styleId="a5">
    <w:name w:val="List Paragraph"/>
    <w:basedOn w:val="a"/>
    <w:uiPriority w:val="99"/>
    <w:qFormat/>
    <w:rsid w:val="00C817CF"/>
    <w:pPr>
      <w:ind w:firstLineChars="200" w:firstLine="420"/>
    </w:pPr>
  </w:style>
  <w:style w:type="table" w:styleId="a6">
    <w:name w:val="Table Grid"/>
    <w:basedOn w:val="a1"/>
    <w:uiPriority w:val="99"/>
    <w:rsid w:val="00C81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C817CF"/>
    <w:pPr>
      <w:widowControl/>
      <w:spacing w:before="100" w:beforeAutospacing="1" w:after="100" w:afterAutospacing="1"/>
      <w:jc w:val="left"/>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506</Words>
  <Characters>2887</Characters>
  <Application>Microsoft Office Word</Application>
  <DocSecurity>0</DocSecurity>
  <Lines>24</Lines>
  <Paragraphs>6</Paragraphs>
  <ScaleCrop>false</ScaleCrop>
  <Company>武警四川总队</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10995</dc:creator>
  <cp:keywords/>
  <dc:description/>
  <cp:lastModifiedBy>219</cp:lastModifiedBy>
  <cp:revision>8</cp:revision>
  <dcterms:created xsi:type="dcterms:W3CDTF">2018-06-29T06:04:00Z</dcterms:created>
  <dcterms:modified xsi:type="dcterms:W3CDTF">2018-09-20T01:43:00Z</dcterms:modified>
</cp:coreProperties>
</file>