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20" w:lineRule="exact"/>
        <w:jc w:val="center"/>
        <w:rPr>
          <w:rFonts w:ascii="黑体" w:hAnsi="黑体" w:eastAsia="黑体" w:cs="宋体"/>
          <w:b/>
          <w:color w:val="333333"/>
          <w:kern w:val="0"/>
          <w:sz w:val="40"/>
          <w:szCs w:val="28"/>
        </w:rPr>
      </w:pPr>
      <w:r>
        <w:rPr>
          <w:rFonts w:hint="eastAsia" w:ascii="黑体" w:hAnsi="黑体" w:eastAsia="黑体" w:cs="宋体"/>
          <w:b/>
          <w:color w:val="333333"/>
          <w:kern w:val="0"/>
          <w:sz w:val="40"/>
          <w:szCs w:val="28"/>
        </w:rPr>
        <w:t>乳腺疾病中心进修招生简章</w:t>
      </w:r>
      <w:bookmarkStart w:id="0" w:name="_GoBack"/>
      <w:bookmarkEnd w:id="0"/>
    </w:p>
    <w:p>
      <w:pPr>
        <w:widowControl/>
        <w:shd w:val="clear" w:color="auto" w:fill="FFFFFF"/>
        <w:spacing w:line="520" w:lineRule="exact"/>
        <w:jc w:val="center"/>
        <w:rPr>
          <w:rFonts w:ascii="黑体" w:hAnsi="黑体" w:eastAsia="黑体" w:cs="宋体"/>
          <w:b/>
          <w:color w:val="333333"/>
          <w:kern w:val="0"/>
          <w:sz w:val="28"/>
          <w:szCs w:val="28"/>
        </w:rPr>
      </w:pPr>
    </w:p>
    <w:p>
      <w:pPr>
        <w:pStyle w:val="15"/>
        <w:widowControl/>
        <w:numPr>
          <w:ilvl w:val="0"/>
          <w:numId w:val="1"/>
        </w:numPr>
        <w:shd w:val="clear" w:color="auto" w:fill="FFFFFF"/>
        <w:spacing w:line="520" w:lineRule="exact"/>
        <w:ind w:firstLineChars="0"/>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科室简介</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四川大学华西医院乳腺专业成立于上世纪70年代末-80年代初， 2008年4月乳腺内外科专业独立成立甲状腺乳腺外科、2015年3月成立乳腺外科专病中心、2017年6月1日成立乳腺外科病房，同年成立四川省乳腺疾病临床医学研究中心，2</w:t>
      </w:r>
      <w:r>
        <w:rPr>
          <w:rFonts w:ascii="仿宋_GB2312" w:eastAsia="仿宋_GB2312" w:hAnsiTheme="minorEastAsia"/>
          <w:sz w:val="28"/>
          <w:szCs w:val="28"/>
        </w:rPr>
        <w:t>022</w:t>
      </w:r>
      <w:r>
        <w:rPr>
          <w:rFonts w:hint="eastAsia" w:ascii="仿宋_GB2312" w:eastAsia="仿宋_GB2312" w:hAnsiTheme="minorEastAsia"/>
          <w:sz w:val="28"/>
          <w:szCs w:val="28"/>
        </w:rPr>
        <w:t>年7月成立华西乳腺疾病中心。经过</w:t>
      </w:r>
      <w:r>
        <w:rPr>
          <w:rFonts w:ascii="仿宋_GB2312" w:eastAsia="仿宋_GB2312" w:hAnsiTheme="minorEastAsia"/>
          <w:sz w:val="28"/>
          <w:szCs w:val="28"/>
        </w:rPr>
        <w:t>4</w:t>
      </w:r>
      <w:r>
        <w:rPr>
          <w:rFonts w:hint="eastAsia" w:ascii="仿宋_GB2312" w:eastAsia="仿宋_GB2312" w:hAnsiTheme="minorEastAsia"/>
          <w:sz w:val="28"/>
          <w:szCs w:val="28"/>
        </w:rPr>
        <w:t>0多年的发展，目前已成为一个构建学术、管理、人才三个维度为核心的体系化先进的乳腺学科中心、资源中心、人才中心。着重致力于乳腺癌专病发展，优化乳癌患者的全程就诊流程</w:t>
      </w:r>
      <w:r>
        <w:rPr>
          <w:rFonts w:ascii="仿宋_GB2312" w:eastAsia="仿宋_GB2312" w:hAnsiTheme="minorEastAsia"/>
          <w:sz w:val="28"/>
          <w:szCs w:val="28"/>
        </w:rPr>
        <w:t>，从顶层全面提升乳腺癌患者的就医体验。创新建立具有华西特色的“规范化、精准性、一站式”乳癌患者全生命周期管理模式。</w:t>
      </w:r>
      <w:r>
        <w:rPr>
          <w:rFonts w:hint="eastAsia" w:ascii="仿宋_GB2312" w:eastAsia="仿宋_GB2312" w:hAnsiTheme="minorEastAsia"/>
          <w:sz w:val="28"/>
          <w:szCs w:val="28"/>
        </w:rPr>
        <w:t>乳腺疾病中心每年接诊乳腺疾病患者</w:t>
      </w:r>
      <w:r>
        <w:rPr>
          <w:rFonts w:ascii="仿宋_GB2312" w:eastAsia="仿宋_GB2312" w:hAnsiTheme="minorEastAsia"/>
          <w:sz w:val="28"/>
          <w:szCs w:val="28"/>
        </w:rPr>
        <w:t>12万余人次，其中来自全国各地的乳腺癌患者数千例</w:t>
      </w:r>
      <w:r>
        <w:rPr>
          <w:rFonts w:hint="eastAsia" w:ascii="仿宋_GB2312" w:eastAsia="仿宋_GB2312" w:hAnsiTheme="minorEastAsia"/>
          <w:sz w:val="28"/>
          <w:szCs w:val="28"/>
        </w:rPr>
        <w:t>，年手术量近</w:t>
      </w:r>
      <w:r>
        <w:rPr>
          <w:rFonts w:ascii="仿宋_GB2312" w:eastAsia="仿宋_GB2312" w:hAnsiTheme="minorEastAsia"/>
          <w:sz w:val="28"/>
          <w:szCs w:val="28"/>
        </w:rPr>
        <w:t>6</w:t>
      </w:r>
      <w:r>
        <w:rPr>
          <w:rFonts w:hint="eastAsia" w:ascii="仿宋_GB2312" w:eastAsia="仿宋_GB2312" w:hAnsiTheme="minorEastAsia"/>
          <w:sz w:val="28"/>
          <w:szCs w:val="28"/>
        </w:rPr>
        <w:t>000台次，乳腺癌手术超过</w:t>
      </w:r>
      <w:r>
        <w:rPr>
          <w:rFonts w:ascii="仿宋_GB2312" w:eastAsia="仿宋_GB2312" w:hAnsiTheme="minorEastAsia"/>
          <w:sz w:val="28"/>
          <w:szCs w:val="28"/>
        </w:rPr>
        <w:t>2000</w:t>
      </w:r>
      <w:r>
        <w:rPr>
          <w:rFonts w:hint="eastAsia" w:ascii="仿宋_GB2312" w:eastAsia="仿宋_GB2312" w:hAnsiTheme="minorEastAsia"/>
          <w:sz w:val="28"/>
          <w:szCs w:val="28"/>
        </w:rPr>
        <w:t>台；作为国家区域疑难重症中心医院，在专业上已经形成了一个完善的多学科（乳腺外科、乳腺肿瘤内科专业组、医学影像科、核医学科、病理科、整形外科、乳腺中心研究室等）协作诊断、治疗体系，打造“以病种为中心”的新治疗理念指导下的“中心制”科室。</w:t>
      </w:r>
      <w:r>
        <w:rPr>
          <w:rFonts w:ascii="仿宋_GB2312" w:eastAsia="仿宋_GB2312" w:hAnsiTheme="minorEastAsia"/>
          <w:sz w:val="28"/>
          <w:szCs w:val="28"/>
        </w:rPr>
        <w:t>本中心作为全国最大的乳腺疾病诊治中心之一，</w:t>
      </w:r>
      <w:r>
        <w:rPr>
          <w:rFonts w:hint="eastAsia" w:ascii="仿宋_GB2312" w:eastAsia="仿宋_GB2312" w:hAnsiTheme="minorEastAsia"/>
          <w:sz w:val="28"/>
          <w:szCs w:val="28"/>
        </w:rPr>
        <w:t>其乳腺外科为国家教育部重点学科、国家卫计委重点专科，在2016年复旦大学中国医院</w:t>
      </w:r>
      <w:r>
        <w:rPr>
          <w:rFonts w:hint="eastAsia" w:ascii="仿宋_GB2312" w:eastAsia="仿宋_GB2312" w:hAnsiTheme="minorEastAsia"/>
          <w:bCs/>
          <w:color w:val="000000"/>
          <w:sz w:val="28"/>
          <w:szCs w:val="28"/>
          <w:shd w:val="clear" w:color="auto" w:fill="FFFFFF"/>
        </w:rPr>
        <w:t>最佳专科声誉排行榜中位列第三</w:t>
      </w:r>
      <w:r>
        <w:rPr>
          <w:rFonts w:hint="eastAsia" w:ascii="仿宋_GB2312" w:eastAsia="仿宋_GB2312" w:hAnsiTheme="minorEastAsia"/>
          <w:sz w:val="28"/>
          <w:szCs w:val="28"/>
        </w:rPr>
        <w:t>。目前在华西本部、天府、上锦三个院区均有床位。医生</w:t>
      </w:r>
      <w:r>
        <w:rPr>
          <w:rFonts w:ascii="仿宋_GB2312" w:eastAsia="仿宋_GB2312" w:hAnsiTheme="minorEastAsia"/>
          <w:sz w:val="28"/>
          <w:szCs w:val="28"/>
        </w:rPr>
        <w:t>27</w:t>
      </w:r>
      <w:r>
        <w:rPr>
          <w:rFonts w:hint="eastAsia" w:ascii="仿宋_GB2312" w:eastAsia="仿宋_GB2312" w:hAnsiTheme="minorEastAsia"/>
          <w:sz w:val="28"/>
          <w:szCs w:val="28"/>
        </w:rPr>
        <w:t>人，其中正教授</w:t>
      </w:r>
      <w:r>
        <w:rPr>
          <w:rFonts w:ascii="仿宋_GB2312" w:eastAsia="仿宋_GB2312" w:hAnsiTheme="minorEastAsia"/>
          <w:sz w:val="28"/>
          <w:szCs w:val="28"/>
        </w:rPr>
        <w:t>6</w:t>
      </w:r>
      <w:r>
        <w:rPr>
          <w:rFonts w:hint="eastAsia" w:ascii="仿宋_GB2312" w:eastAsia="仿宋_GB2312" w:hAnsiTheme="minorEastAsia"/>
          <w:sz w:val="28"/>
          <w:szCs w:val="28"/>
        </w:rPr>
        <w:t>人、副教授</w:t>
      </w:r>
      <w:r>
        <w:rPr>
          <w:rFonts w:ascii="仿宋_GB2312" w:eastAsia="仿宋_GB2312" w:hAnsiTheme="minorEastAsia"/>
          <w:sz w:val="28"/>
          <w:szCs w:val="28"/>
        </w:rPr>
        <w:t>6</w:t>
      </w:r>
      <w:r>
        <w:rPr>
          <w:rFonts w:hint="eastAsia" w:ascii="仿宋_GB2312" w:eastAsia="仿宋_GB2312" w:hAnsiTheme="minorEastAsia"/>
          <w:sz w:val="28"/>
          <w:szCs w:val="28"/>
        </w:rPr>
        <w:t>人、讲师及主治医生</w:t>
      </w:r>
      <w:r>
        <w:rPr>
          <w:rFonts w:ascii="仿宋_GB2312" w:eastAsia="仿宋_GB2312" w:hAnsiTheme="minorEastAsia"/>
          <w:sz w:val="28"/>
          <w:szCs w:val="28"/>
        </w:rPr>
        <w:t>10</w:t>
      </w:r>
      <w:r>
        <w:rPr>
          <w:rFonts w:hint="eastAsia" w:ascii="仿宋_GB2312" w:eastAsia="仿宋_GB2312" w:hAnsiTheme="minorEastAsia"/>
          <w:sz w:val="28"/>
          <w:szCs w:val="28"/>
        </w:rPr>
        <w:t>人；博士后</w:t>
      </w:r>
      <w:r>
        <w:rPr>
          <w:rFonts w:ascii="仿宋_GB2312" w:eastAsia="仿宋_GB2312" w:hAnsiTheme="minorEastAsia"/>
          <w:sz w:val="28"/>
          <w:szCs w:val="28"/>
        </w:rPr>
        <w:t>7</w:t>
      </w:r>
      <w:r>
        <w:rPr>
          <w:rFonts w:hint="eastAsia" w:ascii="仿宋_GB2312" w:eastAsia="仿宋_GB2312" w:hAnsiTheme="minorEastAsia"/>
          <w:sz w:val="28"/>
          <w:szCs w:val="28"/>
        </w:rPr>
        <w:t>人、博士</w:t>
      </w:r>
      <w:r>
        <w:rPr>
          <w:rFonts w:ascii="仿宋_GB2312" w:eastAsia="仿宋_GB2312" w:hAnsiTheme="minorEastAsia"/>
          <w:sz w:val="28"/>
          <w:szCs w:val="28"/>
        </w:rPr>
        <w:t>6</w:t>
      </w:r>
      <w:r>
        <w:rPr>
          <w:rFonts w:hint="eastAsia" w:ascii="仿宋_GB2312" w:eastAsia="仿宋_GB2312" w:hAnsiTheme="minorEastAsia"/>
          <w:sz w:val="28"/>
          <w:szCs w:val="28"/>
        </w:rPr>
        <w:t>人、硕士</w:t>
      </w:r>
      <w:r>
        <w:rPr>
          <w:rFonts w:ascii="仿宋_GB2312" w:eastAsia="仿宋_GB2312" w:hAnsiTheme="minorEastAsia"/>
          <w:sz w:val="28"/>
          <w:szCs w:val="28"/>
        </w:rPr>
        <w:t>8</w:t>
      </w:r>
      <w:r>
        <w:rPr>
          <w:rFonts w:hint="eastAsia" w:ascii="仿宋_GB2312" w:eastAsia="仿宋_GB2312" w:hAnsiTheme="minorEastAsia"/>
          <w:sz w:val="28"/>
          <w:szCs w:val="28"/>
        </w:rPr>
        <w:t>人。本部护士</w:t>
      </w:r>
      <w:r>
        <w:rPr>
          <w:rFonts w:ascii="仿宋_GB2312" w:eastAsia="仿宋_GB2312" w:hAnsiTheme="minorEastAsia"/>
          <w:sz w:val="28"/>
          <w:szCs w:val="28"/>
        </w:rPr>
        <w:t>34</w:t>
      </w:r>
      <w:r>
        <w:rPr>
          <w:rFonts w:hint="eastAsia" w:ascii="仿宋_GB2312" w:eastAsia="仿宋_GB2312" w:hAnsiTheme="minorEastAsia"/>
          <w:sz w:val="28"/>
          <w:szCs w:val="28"/>
        </w:rPr>
        <w:t>人，其中副主任护师</w:t>
      </w:r>
      <w:r>
        <w:rPr>
          <w:rFonts w:ascii="仿宋_GB2312" w:eastAsia="仿宋_GB2312" w:hAnsiTheme="minorEastAsia"/>
          <w:sz w:val="28"/>
          <w:szCs w:val="28"/>
        </w:rPr>
        <w:t>1</w:t>
      </w:r>
      <w:r>
        <w:rPr>
          <w:rFonts w:hint="eastAsia" w:ascii="仿宋_GB2312" w:eastAsia="仿宋_GB2312" w:hAnsiTheme="minorEastAsia"/>
          <w:sz w:val="28"/>
          <w:szCs w:val="28"/>
        </w:rPr>
        <w:t>人、主管护师</w:t>
      </w:r>
      <w:r>
        <w:rPr>
          <w:rFonts w:ascii="仿宋_GB2312" w:eastAsia="仿宋_GB2312" w:hAnsiTheme="minorEastAsia"/>
          <w:sz w:val="28"/>
          <w:szCs w:val="28"/>
        </w:rPr>
        <w:t>8</w:t>
      </w:r>
      <w:r>
        <w:rPr>
          <w:rFonts w:hint="eastAsia" w:ascii="仿宋_GB2312" w:eastAsia="仿宋_GB2312" w:hAnsiTheme="minorEastAsia"/>
          <w:sz w:val="28"/>
          <w:szCs w:val="28"/>
        </w:rPr>
        <w:t>人、护师2</w:t>
      </w:r>
      <w:r>
        <w:rPr>
          <w:rFonts w:ascii="仿宋_GB2312" w:eastAsia="仿宋_GB2312" w:hAnsiTheme="minorEastAsia"/>
          <w:sz w:val="28"/>
          <w:szCs w:val="28"/>
        </w:rPr>
        <w:t>2</w:t>
      </w:r>
      <w:r>
        <w:rPr>
          <w:rFonts w:hint="eastAsia" w:ascii="仿宋_GB2312" w:eastAsia="仿宋_GB2312" w:hAnsiTheme="minorEastAsia"/>
          <w:sz w:val="28"/>
          <w:szCs w:val="28"/>
        </w:rPr>
        <w:t>人、护士</w:t>
      </w:r>
      <w:r>
        <w:rPr>
          <w:rFonts w:ascii="仿宋_GB2312" w:eastAsia="仿宋_GB2312" w:hAnsiTheme="minorEastAsia"/>
          <w:sz w:val="28"/>
          <w:szCs w:val="28"/>
        </w:rPr>
        <w:t>3</w:t>
      </w:r>
      <w:r>
        <w:rPr>
          <w:rFonts w:hint="eastAsia" w:ascii="仿宋_GB2312" w:eastAsia="仿宋_GB2312" w:hAnsiTheme="minorEastAsia"/>
          <w:sz w:val="28"/>
          <w:szCs w:val="28"/>
        </w:rPr>
        <w:t>人；博士1人、硕士</w:t>
      </w:r>
      <w:r>
        <w:rPr>
          <w:rFonts w:ascii="仿宋_GB2312" w:eastAsia="仿宋_GB2312" w:hAnsiTheme="minorEastAsia"/>
          <w:sz w:val="28"/>
          <w:szCs w:val="28"/>
        </w:rPr>
        <w:t>4</w:t>
      </w:r>
      <w:r>
        <w:rPr>
          <w:rFonts w:hint="eastAsia" w:ascii="仿宋_GB2312" w:eastAsia="仿宋_GB2312" w:hAnsiTheme="minorEastAsia"/>
          <w:sz w:val="28"/>
          <w:szCs w:val="28"/>
        </w:rPr>
        <w:t>人。</w:t>
      </w:r>
    </w:p>
    <w:p>
      <w:pPr>
        <w:rPr>
          <w:rFonts w:ascii="仿宋_GB2312" w:eastAsia="仿宋_GB2312" w:hAnsiTheme="minorEastAsia"/>
          <w:sz w:val="28"/>
          <w:szCs w:val="28"/>
        </w:rPr>
      </w:pPr>
      <w:r>
        <w:rPr>
          <w:rFonts w:hint="eastAsia" w:ascii="仿宋_GB2312" w:eastAsia="仿宋_GB2312" w:hAnsiTheme="minorEastAsia"/>
          <w:sz w:val="28"/>
          <w:szCs w:val="28"/>
        </w:rPr>
        <w:t>（一）临床特色</w:t>
      </w:r>
    </w:p>
    <w:p>
      <w:pPr>
        <w:rPr>
          <w:rFonts w:ascii="仿宋_GB2312" w:eastAsia="仿宋_GB2312" w:hAnsiTheme="minorEastAsia"/>
          <w:sz w:val="28"/>
          <w:szCs w:val="28"/>
        </w:rPr>
      </w:pPr>
      <w:r>
        <w:rPr>
          <w:rFonts w:hint="eastAsia" w:ascii="仿宋_GB2312" w:eastAsia="仿宋_GB2312" w:hAnsiTheme="minorEastAsia"/>
          <w:sz w:val="28"/>
          <w:szCs w:val="28"/>
        </w:rPr>
        <w:t>1、秉承患者安全和利益第一的宗旨，积极探索和开展规范化临床特色新技术。</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在创始人陈佩珍教授的带领下于专业成立之初即在国内率先开展了荧光免疫法检测乳腺癌雌孕激素受体（ER、PR）和乳腺癌的内分泌治疗及研究，引领全国乳腺癌内分泌治疗研究的潮流，并获得了“四川省政府科技进步三等奖”；陈佩珍、赵扬冰和杨金巧教授们开展的“乳腺硅胶假体植入乳房成形术”曾获得“四川省政府科技进步三等奖”。</w:t>
      </w:r>
    </w:p>
    <w:p>
      <w:pPr>
        <w:ind w:firstLine="560" w:firstLineChars="200"/>
        <w:rPr>
          <w:rStyle w:val="7"/>
          <w:rFonts w:ascii="仿宋_GB2312" w:eastAsia="仿宋_GB2312" w:hAnsiTheme="minorEastAsia"/>
          <w:bCs/>
          <w:sz w:val="28"/>
          <w:szCs w:val="28"/>
        </w:rPr>
      </w:pPr>
      <w:r>
        <w:rPr>
          <w:rFonts w:hint="eastAsia" w:ascii="仿宋_GB2312" w:eastAsia="仿宋_GB2312" w:hAnsiTheme="minorEastAsia"/>
          <w:sz w:val="28"/>
          <w:szCs w:val="28"/>
        </w:rPr>
        <w:t>2010年初华西即率先在西部开展规范化的</w:t>
      </w:r>
      <w:r>
        <w:rPr>
          <w:rStyle w:val="7"/>
          <w:rFonts w:hint="eastAsia" w:ascii="仿宋_GB2312" w:eastAsia="仿宋_GB2312" w:hAnsiTheme="minorEastAsia"/>
          <w:b w:val="0"/>
          <w:bCs/>
          <w:sz w:val="28"/>
          <w:szCs w:val="28"/>
        </w:rPr>
        <w:t>（淋巴示踪方法和操作医生学习的规范）</w:t>
      </w:r>
      <w:r>
        <w:rPr>
          <w:rFonts w:hint="eastAsia" w:ascii="仿宋_GB2312" w:eastAsia="仿宋_GB2312" w:hAnsiTheme="minorEastAsia"/>
          <w:sz w:val="28"/>
          <w:szCs w:val="28"/>
        </w:rPr>
        <w:t>早期乳腺癌的前哨淋巴结切除活检替代腋窝淋巴结清扫技术，最大限度地</w:t>
      </w:r>
      <w:r>
        <w:rPr>
          <w:rStyle w:val="7"/>
          <w:rFonts w:hint="eastAsia" w:ascii="仿宋_GB2312" w:eastAsia="仿宋_GB2312" w:hAnsiTheme="minorEastAsia"/>
          <w:b w:val="0"/>
          <w:bCs/>
          <w:sz w:val="28"/>
          <w:szCs w:val="28"/>
        </w:rPr>
        <w:t>保护了患者的上肢功能</w:t>
      </w:r>
      <w:r>
        <w:rPr>
          <w:rFonts w:hint="eastAsia" w:ascii="仿宋_GB2312" w:eastAsia="仿宋_GB2312" w:hAnsiTheme="minorEastAsia"/>
          <w:sz w:val="28"/>
          <w:szCs w:val="28"/>
        </w:rPr>
        <w:t>，目前已在全科常规开展。由于坚持</w:t>
      </w:r>
      <w:r>
        <w:rPr>
          <w:rStyle w:val="7"/>
          <w:rFonts w:hint="eastAsia" w:ascii="仿宋_GB2312" w:eastAsia="仿宋_GB2312" w:hAnsiTheme="minorEastAsia"/>
          <w:b w:val="0"/>
          <w:bCs/>
          <w:sz w:val="28"/>
          <w:szCs w:val="28"/>
        </w:rPr>
        <w:t>使用国际上公认的、技术指标最佳的核素+蓝染料双重示踪前哨淋巴结的方法，同时最大限度地保证了手术的质量、患者的疗效和安全。并积极开展乳腺癌内乳前哨淋巴结活检的探索。</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在乳房重建方面，继续与时俱进、追求卓越，主张多样化、微痕化、少创伤、原位重建，其中包含假体、各类自体组织和自体脂肪移植乳房重建，以及拥有全球领先的经乳晕单孔非溶脂腔镜保乳术、新辅助化疗后三示踪法前哨淋巴结活检、腋窝单入路非溶脂的腔镜辅助乳腺癌根治性手术</w:t>
      </w:r>
      <w:r>
        <w:rPr>
          <w:rFonts w:ascii="仿宋_GB2312" w:eastAsia="仿宋_GB2312" w:hAnsiTheme="minorEastAsia"/>
          <w:sz w:val="28"/>
          <w:szCs w:val="28"/>
        </w:rPr>
        <w:t>+背阔肌/假体乳房重建等各类前沿术式，</w:t>
      </w:r>
      <w:r>
        <w:rPr>
          <w:rFonts w:hint="eastAsia" w:ascii="仿宋_GB2312" w:eastAsia="仿宋_GB2312" w:hAnsiTheme="minorEastAsia"/>
          <w:sz w:val="28"/>
          <w:szCs w:val="28"/>
        </w:rPr>
        <w:t>积极探索个性化定制性的乳房假体重建，能够满足各类因为病痛失去乳房的患友们的需求，进行尽可能完美的乳房重建，重塑美丽人身。</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晚期乳腺癌的外科治疗不放弃，且病种类型多、手术类型齐全：锁骨上/颈淋巴结清扫的常态化、独特的大面积皮肤缺损的简易覆盖修复手术、选择性患者的扩大根治术、晚期乳腺癌联合骨性胸廓切除后的修复、各种皮瓣转移创面修复等。</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本世纪初即在省内首先开展了乳腺溢液性病变的内窥镜检查及乳腺良性肿瘤的微创手术（MMT），显著提高了乳头溢液疾病的诊断水平，基本解决了长期以来治疗棘手的乳腺多发性良性肿瘤的治疗难题，目前开展近万例，效果良好。</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在乳腺内科治疗方面，由乳腺肿瘤内科、乳腺肿瘤放疗与专职科研团队共同协作，在乳腺癌诊断、精准放疗和精准内科治疗等领域达到了国内国际先进水平。中心内科已开展以下国内外创新医疗技术：局部晚期乳腺癌的创新新辅助治疗方案；循环肿瘤细胞</w:t>
      </w:r>
      <w:r>
        <w:rPr>
          <w:rFonts w:ascii="仿宋_GB2312" w:eastAsia="仿宋_GB2312" w:hAnsiTheme="minorEastAsia"/>
          <w:sz w:val="28"/>
          <w:szCs w:val="28"/>
        </w:rPr>
        <w:t>(CTC)检测 (Metafer-SE-iFish）全自动图像扫描与分析；乳腺癌寡转移灶图像引导下立体定向放疗；保乳术后部分乳腺照射技术；组织补偿膜3D打印技术。</w:t>
      </w:r>
    </w:p>
    <w:p>
      <w:pPr>
        <w:ind w:firstLine="560" w:firstLineChars="200"/>
        <w:rPr>
          <w:rFonts w:ascii="仿宋_GB2312" w:eastAsia="仿宋_GB2312" w:hAnsiTheme="minorEastAsia"/>
          <w:sz w:val="28"/>
          <w:szCs w:val="28"/>
        </w:rPr>
      </w:pPr>
      <w:r>
        <w:rPr>
          <w:rFonts w:ascii="仿宋_GB2312" w:eastAsia="仿宋_GB2312" w:hAnsiTheme="minorEastAsia"/>
          <w:sz w:val="28"/>
          <w:szCs w:val="28"/>
        </w:rPr>
        <w:t xml:space="preserve">  据统计，我中心于1999年-2017年收治的0-III期乳腺癌患者5年总生存率高达90%左右，位于国内领先水平，并媲美发达国家。</w:t>
      </w:r>
    </w:p>
    <w:p>
      <w:pPr>
        <w:rPr>
          <w:rFonts w:ascii="仿宋_GB2312" w:eastAsia="仿宋_GB2312" w:hAnsiTheme="minorEastAsia"/>
          <w:sz w:val="28"/>
          <w:szCs w:val="28"/>
        </w:rPr>
      </w:pPr>
      <w:r>
        <w:rPr>
          <w:rFonts w:hint="eastAsia" w:ascii="仿宋_GB2312" w:eastAsia="仿宋_GB2312" w:hAnsiTheme="minorEastAsia"/>
          <w:sz w:val="28"/>
          <w:szCs w:val="28"/>
        </w:rPr>
        <w:t>2、临床工作管理创新、规范</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本中心是华西医院开始MDT诊疗模式较早的专业之一，目前更是每周定期联合乳腺外科、乳腺肿瘤内科专业组、超声影像科、病理科、放疗科专家进行疑难重症的MDT讨论，为了患者利益尽最大的努力。</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开展专人照护、指引“一站式门诊”、乳腺癌患者的中心内各专业的绿色通道服务，为乳腺癌患者提供了最便捷的服务，体现了华西文化中想患者所想，急患者所急的“平民情感”和管理水平。</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同时借助科技手段积极探索实施乳腺疾病患者的全程管理模式。</w:t>
      </w:r>
    </w:p>
    <w:p>
      <w:pPr>
        <w:rPr>
          <w:rFonts w:ascii="仿宋_GB2312" w:eastAsia="仿宋_GB2312" w:hAnsiTheme="minorEastAsia"/>
          <w:sz w:val="28"/>
          <w:szCs w:val="28"/>
        </w:rPr>
      </w:pPr>
      <w:r>
        <w:rPr>
          <w:rFonts w:hint="eastAsia" w:ascii="仿宋_GB2312" w:eastAsia="仿宋_GB2312" w:hAnsiTheme="minorEastAsia"/>
          <w:sz w:val="28"/>
          <w:szCs w:val="28"/>
        </w:rPr>
        <w:t>（二）医学教育</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乳腺外科为教育部博士、硕士学位授权点，已培养博士、硕士研究生</w:t>
      </w:r>
      <w:r>
        <w:rPr>
          <w:rFonts w:ascii="仿宋_GB2312" w:eastAsia="仿宋_GB2312" w:hAnsiTheme="minorEastAsia"/>
          <w:sz w:val="28"/>
          <w:szCs w:val="28"/>
        </w:rPr>
        <w:t>4</w:t>
      </w:r>
      <w:r>
        <w:rPr>
          <w:rFonts w:hint="eastAsia" w:ascii="仿宋_GB2312" w:eastAsia="仿宋_GB2312" w:hAnsiTheme="minorEastAsia"/>
          <w:sz w:val="28"/>
          <w:szCs w:val="28"/>
        </w:rPr>
        <w:t>0余人，在读</w:t>
      </w:r>
      <w:r>
        <w:rPr>
          <w:rFonts w:ascii="仿宋_GB2312" w:eastAsia="仿宋_GB2312" w:hAnsiTheme="minorEastAsia"/>
          <w:sz w:val="28"/>
          <w:szCs w:val="28"/>
        </w:rPr>
        <w:t>31</w:t>
      </w:r>
      <w:r>
        <w:rPr>
          <w:rFonts w:hint="eastAsia" w:ascii="仿宋_GB2312" w:eastAsia="仿宋_GB2312" w:hAnsiTheme="minorEastAsia"/>
          <w:sz w:val="28"/>
          <w:szCs w:val="28"/>
        </w:rPr>
        <w:t>人。承担了华西临床医学院全部学制学生以及海外留学生的乳腺专业教学任务和100多家华西网络医院的远程会诊及远程教学，并承担了国家级本科教材的编写任务，</w:t>
      </w:r>
      <w:r>
        <w:rPr>
          <w:rFonts w:ascii="仿宋_GB2312" w:eastAsia="仿宋_GB2312" w:hAnsiTheme="minorEastAsia"/>
          <w:sz w:val="28"/>
          <w:szCs w:val="28"/>
        </w:rPr>
        <w:t>参编临床指南4项，主编教材与著作4部。</w:t>
      </w:r>
      <w:r>
        <w:rPr>
          <w:rFonts w:hint="eastAsia" w:ascii="仿宋_GB2312" w:eastAsia="仿宋_GB2312" w:hAnsiTheme="minorEastAsia"/>
          <w:sz w:val="28"/>
          <w:szCs w:val="28"/>
        </w:rPr>
        <w:t>每年承接全国各地乳腺专科医生的继续教育（进修）任务，其中以腔镜培训班为主题的学术交流受到众多医院的青睐好评。年培养进修医生10-20余名。</w:t>
      </w:r>
    </w:p>
    <w:p>
      <w:pPr>
        <w:rPr>
          <w:rFonts w:ascii="仿宋_GB2312" w:eastAsia="仿宋_GB2312" w:hAnsiTheme="minorEastAsia"/>
          <w:sz w:val="28"/>
          <w:szCs w:val="28"/>
        </w:rPr>
      </w:pPr>
      <w:r>
        <w:rPr>
          <w:rFonts w:hint="eastAsia" w:ascii="仿宋_GB2312" w:eastAsia="仿宋_GB2312" w:hAnsiTheme="minorEastAsia"/>
          <w:sz w:val="28"/>
          <w:szCs w:val="28"/>
        </w:rPr>
        <w:t>（三）学术研究方向</w:t>
      </w:r>
    </w:p>
    <w:p>
      <w:pPr>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近年乳腺疾病中心承担国家级研究项目</w:t>
      </w:r>
      <w:r>
        <w:rPr>
          <w:rFonts w:ascii="仿宋_GB2312" w:eastAsia="仿宋_GB2312" w:hAnsiTheme="minorEastAsia"/>
          <w:sz w:val="28"/>
          <w:szCs w:val="28"/>
        </w:rPr>
        <w:t>11</w:t>
      </w:r>
      <w:r>
        <w:rPr>
          <w:rFonts w:hint="eastAsia" w:ascii="仿宋_GB2312" w:eastAsia="仿宋_GB2312" w:hAnsiTheme="minorEastAsia"/>
          <w:sz w:val="28"/>
          <w:szCs w:val="28"/>
        </w:rPr>
        <w:t>项、省部级研究项目</w:t>
      </w:r>
      <w:r>
        <w:rPr>
          <w:rFonts w:ascii="仿宋_GB2312" w:eastAsia="仿宋_GB2312" w:hAnsiTheme="minorEastAsia"/>
          <w:sz w:val="28"/>
          <w:szCs w:val="28"/>
        </w:rPr>
        <w:t>25</w:t>
      </w:r>
      <w:r>
        <w:rPr>
          <w:rFonts w:hint="eastAsia" w:ascii="仿宋_GB2312" w:eastAsia="仿宋_GB2312" w:hAnsiTheme="minorEastAsia"/>
          <w:sz w:val="28"/>
          <w:szCs w:val="28"/>
        </w:rPr>
        <w:t>项、国际多中心项目</w:t>
      </w:r>
      <w:r>
        <w:rPr>
          <w:rFonts w:ascii="仿宋_GB2312" w:eastAsia="仿宋_GB2312" w:hAnsiTheme="minorEastAsia"/>
          <w:sz w:val="28"/>
          <w:szCs w:val="28"/>
        </w:rPr>
        <w:t>18项</w:t>
      </w:r>
      <w:r>
        <w:rPr>
          <w:rFonts w:hint="eastAsia" w:ascii="仿宋_GB2312" w:eastAsia="仿宋_GB2312" w:hAnsiTheme="minorEastAsia"/>
          <w:sz w:val="28"/>
          <w:szCs w:val="28"/>
        </w:rPr>
        <w:t>，</w:t>
      </w:r>
      <w:r>
        <w:rPr>
          <w:rFonts w:ascii="仿宋_GB2312" w:eastAsia="仿宋_GB2312" w:hAnsiTheme="minorEastAsia"/>
          <w:sz w:val="28"/>
          <w:szCs w:val="28"/>
        </w:rPr>
        <w:t>获得中国专利16项，开展新技术项目9项，</w:t>
      </w:r>
      <w:r>
        <w:rPr>
          <w:rFonts w:hint="eastAsia" w:ascii="仿宋_GB2312" w:eastAsia="仿宋_GB2312" w:hAnsiTheme="minorEastAsia"/>
          <w:sz w:val="28"/>
          <w:szCs w:val="28"/>
        </w:rPr>
        <w:t>多次主办高水平国际国内学科会议，积极开展国际合作，与美国波士顿哈佛医学院，美国纽约威尔·康奈尔医学院，瑞典斯德哥尔摩卡罗林斯卡学院和冰岛大学等开展密切国际科研合作。近三年共计发表</w:t>
      </w:r>
      <w:r>
        <w:rPr>
          <w:rFonts w:ascii="仿宋_GB2312" w:eastAsia="仿宋_GB2312" w:hAnsiTheme="minorEastAsia"/>
          <w:sz w:val="28"/>
          <w:szCs w:val="28"/>
        </w:rPr>
        <w:t>SCI收录论文共计80余篇（第一/通讯作者）。</w:t>
      </w:r>
      <w:r>
        <w:rPr>
          <w:rFonts w:hint="eastAsia" w:ascii="仿宋_GB2312" w:eastAsia="仿宋_GB2312" w:hAnsiTheme="minorEastAsia"/>
          <w:sz w:val="28"/>
          <w:szCs w:val="28"/>
        </w:rPr>
        <w:t>在乳腺软组织工程的基础转化研究、环境雌激素与乳腺癌发病的基础及流行病学、特色的乳腺癌风险预测模型、乳腺癌转移机制、乳腺癌淋巴引流规律的临床基础研究、乳腺癌异质性研究方面进行了深入的探索研究。</w:t>
      </w:r>
    </w:p>
    <w:p>
      <w:pPr>
        <w:rPr>
          <w:rFonts w:ascii="仿宋_GB2312" w:eastAsia="仿宋_GB2312" w:hAnsiTheme="minorEastAsia"/>
          <w:sz w:val="28"/>
          <w:szCs w:val="28"/>
        </w:rPr>
      </w:pPr>
      <w:r>
        <w:rPr>
          <w:rFonts w:hint="eastAsia" w:ascii="仿宋_GB2312" w:eastAsia="仿宋_GB2312" w:hAnsiTheme="minorEastAsia"/>
          <w:sz w:val="28"/>
          <w:szCs w:val="28"/>
        </w:rPr>
        <w:t>（四）地区引领</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华西乳腺外科2010年牵头省内主要医院乳腺专业医生，成立了我省第一个乳腺专业学术组织-四川省医师协会外科专委会乳腺学组，并成为组长单位，2018年6月牵头成立了涵盖西部12个省、市、自治区60多家各级医院的西部乳腺疾病联盟，积极组织定期的学术交流大会和对基层医生的培训班，在国内具有较高的专业公信力。</w:t>
      </w:r>
      <w:r>
        <w:rPr>
          <w:rStyle w:val="7"/>
          <w:rFonts w:hint="eastAsia" w:ascii="仿宋_GB2312" w:eastAsia="仿宋_GB2312" w:hAnsiTheme="minorEastAsia"/>
          <w:bCs/>
          <w:sz w:val="28"/>
          <w:szCs w:val="28"/>
        </w:rPr>
        <w:t>目前为</w:t>
      </w:r>
      <w:r>
        <w:rPr>
          <w:rFonts w:hint="eastAsia" w:ascii="仿宋_GB2312" w:eastAsia="仿宋_GB2312" w:hAnsiTheme="minorEastAsia"/>
          <w:sz w:val="28"/>
          <w:szCs w:val="28"/>
        </w:rPr>
        <w:t>四川省医师协会、四川省医学会以及省内其他全部主要学术组织乳腺专业委员会的主要负责单位。</w:t>
      </w:r>
    </w:p>
    <w:p>
      <w:pPr>
        <w:pStyle w:val="15"/>
        <w:widowControl/>
        <w:numPr>
          <w:ilvl w:val="0"/>
          <w:numId w:val="1"/>
        </w:numPr>
        <w:shd w:val="clear" w:color="auto" w:fill="FFFFFF"/>
        <w:spacing w:line="520" w:lineRule="exact"/>
        <w:ind w:firstLineChars="0"/>
        <w:jc w:val="left"/>
        <w:rPr>
          <w:rFonts w:ascii="仿宋_GB2312" w:hAnsi="宋体" w:eastAsia="仿宋_GB2312" w:cs="宋体"/>
          <w:bCs/>
          <w:color w:val="333333"/>
          <w:kern w:val="0"/>
          <w:sz w:val="28"/>
          <w:szCs w:val="28"/>
        </w:rPr>
      </w:pPr>
      <w:r>
        <w:rPr>
          <w:rFonts w:hint="eastAsia" w:ascii="仿宋_GB2312" w:hAnsi="宋体" w:eastAsia="仿宋_GB2312" w:cs="宋体"/>
          <w:bCs/>
          <w:color w:val="333333"/>
          <w:kern w:val="0"/>
          <w:sz w:val="28"/>
          <w:szCs w:val="28"/>
        </w:rPr>
        <w:t>进修专业简介</w:t>
      </w:r>
    </w:p>
    <w:p>
      <w:pPr>
        <w:widowControl/>
        <w:shd w:val="clear" w:color="auto" w:fill="FFFFFF"/>
        <w:wordWrap w:val="0"/>
        <w:spacing w:line="360" w:lineRule="auto"/>
        <w:jc w:val="left"/>
        <w:rPr>
          <w:rFonts w:ascii="仿宋_GB2312" w:eastAsia="仿宋_GB2312" w:cs="宋体" w:hAnsiTheme="minorEastAsia"/>
          <w:b/>
          <w:bCs/>
          <w:color w:val="333333"/>
          <w:kern w:val="0"/>
          <w:sz w:val="28"/>
          <w:szCs w:val="28"/>
        </w:rPr>
      </w:pPr>
      <w:r>
        <w:rPr>
          <w:rFonts w:hint="eastAsia" w:ascii="仿宋_GB2312" w:eastAsia="仿宋_GB2312" w:cs="宋体" w:hAnsiTheme="minorEastAsia"/>
          <w:b/>
          <w:bCs/>
          <w:color w:val="333333"/>
          <w:kern w:val="0"/>
          <w:sz w:val="28"/>
          <w:szCs w:val="28"/>
        </w:rPr>
        <w:t>1.进修方向：</w:t>
      </w:r>
      <w:r>
        <w:rPr>
          <w:rFonts w:hint="eastAsia" w:ascii="仿宋_GB2312" w:eastAsia="仿宋_GB2312" w:cs="宋体" w:hAnsiTheme="minorEastAsia"/>
          <w:bCs/>
          <w:color w:val="333333"/>
          <w:kern w:val="0"/>
          <w:sz w:val="28"/>
          <w:szCs w:val="28"/>
        </w:rPr>
        <w:t>主要有：1）乳腺癌的规范化的诊断治疗（各类手术治疗和放化疗和内分泌治疗的规范化培养）以及随访观察；2）保乳和乳房重建的规范以及手术技巧；3）规范化前哨淋巴结活检在乳腺癌根治方面的实践和应用；4）乳腺良性疾病的旋切治疗(MMT)；5）乳腺内窥镜检查；6）X线引导下的乳腺钙化病灶空心针穿刺活检。</w:t>
      </w:r>
    </w:p>
    <w:p>
      <w:pPr>
        <w:widowControl/>
        <w:shd w:val="clear" w:color="auto" w:fill="FFFFFF"/>
        <w:wordWrap w:val="0"/>
        <w:spacing w:line="360" w:lineRule="auto"/>
        <w:jc w:val="left"/>
        <w:rPr>
          <w:rFonts w:ascii="仿宋_GB2312" w:eastAsia="仿宋_GB2312" w:cs="宋体" w:hAnsiTheme="minorEastAsia"/>
          <w:b/>
          <w:bCs/>
          <w:color w:val="333333"/>
          <w:kern w:val="0"/>
          <w:sz w:val="28"/>
          <w:szCs w:val="28"/>
        </w:rPr>
      </w:pPr>
      <w:r>
        <w:rPr>
          <w:rFonts w:hint="eastAsia" w:ascii="仿宋_GB2312" w:eastAsia="仿宋_GB2312" w:cs="宋体" w:hAnsiTheme="minorEastAsia"/>
          <w:b/>
          <w:bCs/>
          <w:color w:val="333333"/>
          <w:kern w:val="0"/>
          <w:sz w:val="28"/>
          <w:szCs w:val="28"/>
        </w:rPr>
        <w:t>2、科室招收计划：</w:t>
      </w:r>
      <w:r>
        <w:rPr>
          <w:rFonts w:hint="eastAsia" w:ascii="仿宋_GB2312" w:eastAsia="仿宋_GB2312" w:cs="宋体" w:hAnsiTheme="minorEastAsia"/>
          <w:color w:val="333333"/>
          <w:kern w:val="0"/>
          <w:sz w:val="28"/>
          <w:szCs w:val="28"/>
        </w:rPr>
        <w:t>每年春、秋季招录进修生两次，进修期限一般为半年或一年。</w:t>
      </w:r>
      <w:r>
        <w:rPr>
          <w:rFonts w:hint="eastAsia" w:ascii="仿宋_GB2312" w:eastAsia="仿宋_GB2312" w:cs="宋体" w:hAnsiTheme="minorEastAsia"/>
          <w:bCs/>
          <w:color w:val="333333"/>
          <w:kern w:val="0"/>
          <w:sz w:val="28"/>
          <w:szCs w:val="28"/>
        </w:rPr>
        <w:t>招生时间一般定在入学的前两月，即春季（3月初）入学者，1月份录取；秋季（9月初）入学者，7月录取</w:t>
      </w:r>
      <w:r>
        <w:rPr>
          <w:rFonts w:hint="eastAsia" w:ascii="仿宋_GB2312" w:eastAsia="仿宋_GB2312" w:cs="宋体" w:hAnsiTheme="minorEastAsia"/>
          <w:color w:val="333333"/>
          <w:kern w:val="0"/>
          <w:sz w:val="28"/>
          <w:szCs w:val="28"/>
        </w:rPr>
        <w:t>。</w:t>
      </w:r>
    </w:p>
    <w:p>
      <w:pPr>
        <w:widowControl/>
        <w:shd w:val="clear" w:color="auto" w:fill="FFFFFF"/>
        <w:spacing w:line="520" w:lineRule="exact"/>
        <w:jc w:val="left"/>
        <w:rPr>
          <w:rFonts w:ascii="仿宋_GB2312" w:eastAsia="仿宋_GB2312" w:cs="宋体" w:hAnsiTheme="minorEastAsia"/>
          <w:b/>
          <w:color w:val="333333"/>
          <w:kern w:val="0"/>
          <w:sz w:val="28"/>
          <w:szCs w:val="28"/>
        </w:rPr>
      </w:pPr>
      <w:r>
        <w:rPr>
          <w:rFonts w:hint="eastAsia" w:ascii="仿宋_GB2312" w:eastAsia="仿宋_GB2312" w:cs="宋体" w:hAnsiTheme="minorEastAsia"/>
          <w:b/>
          <w:color w:val="333333"/>
          <w:kern w:val="0"/>
          <w:sz w:val="28"/>
          <w:szCs w:val="28"/>
        </w:rPr>
        <w:t>附：进修期限安排表</w:t>
      </w:r>
    </w:p>
    <w:tbl>
      <w:tblPr>
        <w:tblStyle w:val="5"/>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693"/>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ascii="仿宋_GB2312" w:eastAsia="仿宋_GB2312" w:cs="宋体" w:hAnsiTheme="minorEastAsia"/>
                <w:b/>
                <w:color w:val="333333"/>
                <w:kern w:val="0"/>
                <w:sz w:val="28"/>
                <w:szCs w:val="28"/>
              </w:rPr>
            </w:pPr>
            <w:r>
              <w:rPr>
                <w:rFonts w:hint="eastAsia" w:ascii="仿宋_GB2312" w:eastAsia="仿宋_GB2312" w:cs="宋体" w:hAnsiTheme="minorEastAsia"/>
                <w:b/>
                <w:color w:val="333333"/>
                <w:kern w:val="0"/>
                <w:sz w:val="28"/>
                <w:szCs w:val="28"/>
              </w:rPr>
              <w:t>进修专业</w:t>
            </w:r>
          </w:p>
        </w:tc>
        <w:tc>
          <w:tcPr>
            <w:tcW w:w="2693" w:type="dxa"/>
          </w:tcPr>
          <w:p>
            <w:pPr>
              <w:widowControl/>
              <w:spacing w:line="520" w:lineRule="exact"/>
              <w:jc w:val="center"/>
              <w:rPr>
                <w:rFonts w:ascii="仿宋_GB2312" w:eastAsia="仿宋_GB2312" w:cs="宋体" w:hAnsiTheme="minorEastAsia"/>
                <w:b/>
                <w:color w:val="333333"/>
                <w:kern w:val="0"/>
                <w:sz w:val="28"/>
                <w:szCs w:val="28"/>
              </w:rPr>
            </w:pPr>
            <w:r>
              <w:rPr>
                <w:rFonts w:hint="eastAsia" w:ascii="仿宋_GB2312" w:eastAsia="仿宋_GB2312" w:cs="宋体" w:hAnsiTheme="minorEastAsia"/>
                <w:b/>
                <w:color w:val="333333"/>
                <w:kern w:val="0"/>
                <w:sz w:val="28"/>
                <w:szCs w:val="28"/>
              </w:rPr>
              <w:t>进修期限</w:t>
            </w:r>
          </w:p>
        </w:tc>
        <w:tc>
          <w:tcPr>
            <w:tcW w:w="3118" w:type="dxa"/>
          </w:tcPr>
          <w:p>
            <w:pPr>
              <w:widowControl/>
              <w:spacing w:line="520" w:lineRule="exact"/>
              <w:jc w:val="center"/>
              <w:rPr>
                <w:rFonts w:ascii="仿宋_GB2312" w:eastAsia="仿宋_GB2312" w:cs="宋体" w:hAnsiTheme="minorEastAsia"/>
                <w:b/>
                <w:color w:val="333333"/>
                <w:kern w:val="0"/>
                <w:sz w:val="28"/>
                <w:szCs w:val="28"/>
              </w:rPr>
            </w:pPr>
            <w:r>
              <w:rPr>
                <w:rFonts w:hint="eastAsia" w:ascii="仿宋_GB2312" w:eastAsia="仿宋_GB2312" w:cs="宋体" w:hAnsiTheme="minorEastAsia"/>
                <w:b/>
                <w:color w:val="333333"/>
                <w:kern w:val="0"/>
                <w:sz w:val="28"/>
                <w:szCs w:val="28"/>
              </w:rPr>
              <w:t>每一年度招录人数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ascii="仿宋_GB2312" w:eastAsia="仿宋_GB2312" w:cs="宋体" w:hAnsiTheme="minorEastAsia"/>
                <w:color w:val="333333"/>
                <w:kern w:val="0"/>
                <w:sz w:val="28"/>
                <w:szCs w:val="28"/>
              </w:rPr>
            </w:pPr>
            <w:r>
              <w:rPr>
                <w:rFonts w:hint="eastAsia" w:ascii="仿宋_GB2312" w:eastAsia="仿宋_GB2312" w:cs="宋体" w:hAnsiTheme="minorEastAsia"/>
                <w:color w:val="333333"/>
                <w:kern w:val="0"/>
                <w:sz w:val="28"/>
                <w:szCs w:val="28"/>
              </w:rPr>
              <w:t>乳腺外科</w:t>
            </w:r>
          </w:p>
        </w:tc>
        <w:tc>
          <w:tcPr>
            <w:tcW w:w="2693" w:type="dxa"/>
          </w:tcPr>
          <w:p>
            <w:pPr>
              <w:widowControl/>
              <w:spacing w:line="520" w:lineRule="exact"/>
              <w:jc w:val="center"/>
              <w:rPr>
                <w:rFonts w:ascii="仿宋_GB2312" w:eastAsia="仿宋_GB2312" w:cs="宋体" w:hAnsiTheme="minorEastAsia"/>
                <w:color w:val="333333"/>
                <w:kern w:val="0"/>
                <w:sz w:val="28"/>
                <w:szCs w:val="28"/>
              </w:rPr>
            </w:pPr>
            <w:r>
              <w:rPr>
                <w:rFonts w:hint="eastAsia" w:ascii="仿宋_GB2312" w:eastAsia="仿宋_GB2312" w:cs="Helvetica Neue" w:hAnsiTheme="minorEastAsia"/>
                <w:kern w:val="0"/>
                <w:sz w:val="28"/>
                <w:szCs w:val="28"/>
              </w:rPr>
              <w:t>6-12月</w:t>
            </w:r>
          </w:p>
        </w:tc>
        <w:tc>
          <w:tcPr>
            <w:tcW w:w="3118" w:type="dxa"/>
          </w:tcPr>
          <w:p>
            <w:pPr>
              <w:widowControl/>
              <w:spacing w:line="520" w:lineRule="exact"/>
              <w:jc w:val="center"/>
              <w:rPr>
                <w:rFonts w:ascii="仿宋_GB2312" w:eastAsia="仿宋_GB2312" w:cs="宋体" w:hAnsiTheme="minorEastAsia"/>
                <w:color w:val="333333"/>
                <w:kern w:val="0"/>
                <w:sz w:val="28"/>
                <w:szCs w:val="28"/>
              </w:rPr>
            </w:pPr>
            <w:r>
              <w:rPr>
                <w:rFonts w:hint="eastAsia" w:ascii="仿宋_GB2312" w:eastAsia="仿宋_GB2312" w:cs="宋体" w:hAnsiTheme="minorEastAsia"/>
                <w:color w:val="333333"/>
                <w:kern w:val="0"/>
                <w:sz w:val="28"/>
                <w:szCs w:val="28"/>
              </w:rPr>
              <w:t>30人</w:t>
            </w:r>
          </w:p>
        </w:tc>
      </w:tr>
    </w:tbl>
    <w:p>
      <w:pPr>
        <w:pStyle w:val="15"/>
        <w:widowControl/>
        <w:numPr>
          <w:ilvl w:val="0"/>
          <w:numId w:val="1"/>
        </w:numPr>
        <w:shd w:val="clear" w:color="auto" w:fill="FFFFFF"/>
        <w:spacing w:line="520" w:lineRule="exact"/>
        <w:ind w:firstLineChars="0"/>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培养方案</w:t>
      </w:r>
    </w:p>
    <w:p>
      <w:pPr>
        <w:widowControl/>
        <w:shd w:val="clear" w:color="auto" w:fill="FFFFFF"/>
        <w:wordWrap w:val="0"/>
        <w:spacing w:line="360" w:lineRule="auto"/>
        <w:jc w:val="left"/>
        <w:rPr>
          <w:rFonts w:ascii="仿宋_GB2312" w:eastAsia="仿宋_GB2312" w:cs="宋体"/>
          <w:b/>
          <w:color w:val="333333"/>
          <w:kern w:val="0"/>
          <w:sz w:val="28"/>
          <w:szCs w:val="28"/>
        </w:rPr>
      </w:pPr>
      <w:r>
        <w:rPr>
          <w:rFonts w:hint="eastAsia" w:ascii="仿宋_GB2312" w:hAnsi="宋体" w:eastAsia="仿宋_GB2312" w:cs="宋体"/>
          <w:bCs/>
          <w:color w:val="333333"/>
          <w:kern w:val="0"/>
          <w:sz w:val="28"/>
          <w:szCs w:val="28"/>
        </w:rPr>
        <w:t>在病房各医疗组</w:t>
      </w:r>
      <w:r>
        <w:rPr>
          <w:rFonts w:hint="eastAsia" w:ascii="仿宋_GB2312" w:hAnsi="宋体" w:eastAsia="仿宋_GB2312" w:cs="宋体"/>
          <w:color w:val="333333"/>
          <w:kern w:val="0"/>
          <w:sz w:val="28"/>
          <w:szCs w:val="28"/>
        </w:rPr>
        <w:t>轮转参加手术观摩及操作、专科门诊学习，定期专题讲座、乳腺中心MDT讨论观摩、疑难病案分析讨论、专科技术培训（换药、微创旋切技术、乳管内窥镜等）、临床科研等，乳腺中心内相关专业参观学习（需协调）、每年多次的全国/地区专业学术会议学习。鼓励学员参加各类专业会议，鼓励学员参与会议筹办和讲座。进修后达到能独立、全程管理乳腺外科病人。通过临床操作、理论考核方式统一考核后发放结业证书。</w:t>
      </w:r>
    </w:p>
    <w:p>
      <w:pPr>
        <w:widowControl/>
        <w:shd w:val="clear" w:color="auto" w:fill="FFFFFF"/>
        <w:spacing w:line="520" w:lineRule="exact"/>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四、进修学员资质要求</w:t>
      </w:r>
    </w:p>
    <w:p>
      <w:pPr>
        <w:spacing w:line="520" w:lineRule="exact"/>
        <w:ind w:firstLine="420"/>
        <w:rPr>
          <w:rFonts w:ascii="仿宋_GB2312" w:eastAsia="仿宋_GB2312" w:cs="宋体" w:hAnsiTheme="minorEastAsia"/>
          <w:bCs/>
          <w:color w:val="333333"/>
          <w:kern w:val="0"/>
          <w:sz w:val="28"/>
          <w:szCs w:val="28"/>
        </w:rPr>
      </w:pPr>
      <w:r>
        <w:rPr>
          <w:rFonts w:hint="eastAsia" w:ascii="仿宋_GB2312" w:eastAsia="仿宋_GB2312" w:cs="宋体" w:hAnsiTheme="minorEastAsia"/>
          <w:bCs/>
          <w:color w:val="333333"/>
          <w:kern w:val="0"/>
          <w:sz w:val="28"/>
          <w:szCs w:val="28"/>
        </w:rPr>
        <w:t>资质要求包括：本科及以上学历</w:t>
      </w:r>
      <w:r>
        <w:rPr>
          <w:rFonts w:hint="eastAsia" w:ascii="仿宋_GB2312" w:eastAsia="仿宋_GB2312" w:cs="宋体" w:hAnsiTheme="minorEastAsia"/>
          <w:bCs/>
          <w:color w:val="333333"/>
          <w:kern w:val="0"/>
          <w:sz w:val="28"/>
          <w:szCs w:val="28"/>
          <w:lang w:eastAsia="zh-CN"/>
        </w:rPr>
        <w:t>，</w:t>
      </w:r>
      <w:r>
        <w:rPr>
          <w:rFonts w:hint="eastAsia" w:ascii="仿宋_GB2312" w:eastAsia="仿宋_GB2312" w:cs="宋体" w:hAnsiTheme="minorEastAsia"/>
          <w:bCs/>
          <w:color w:val="333333"/>
          <w:kern w:val="0"/>
          <w:sz w:val="28"/>
          <w:szCs w:val="28"/>
        </w:rPr>
        <w:t>工作年限在3年以上</w:t>
      </w:r>
      <w:r>
        <w:rPr>
          <w:rFonts w:hint="eastAsia" w:ascii="仿宋_GB2312" w:eastAsia="仿宋_GB2312" w:cs="宋体" w:hAnsiTheme="minorEastAsia"/>
          <w:bCs/>
          <w:color w:val="333333"/>
          <w:kern w:val="0"/>
          <w:sz w:val="28"/>
          <w:szCs w:val="28"/>
          <w:lang w:eastAsia="zh-CN"/>
        </w:rPr>
        <w:t>，</w:t>
      </w:r>
      <w:r>
        <w:rPr>
          <w:rFonts w:hint="eastAsia" w:ascii="仿宋_GB2312" w:eastAsia="仿宋_GB2312" w:cs="宋体" w:hAnsiTheme="minorEastAsia"/>
          <w:bCs/>
          <w:color w:val="333333"/>
          <w:kern w:val="0"/>
          <w:sz w:val="28"/>
          <w:szCs w:val="28"/>
        </w:rPr>
        <w:t>取得医师资格证及医师执业证。</w:t>
      </w:r>
    </w:p>
    <w:p>
      <w:pPr>
        <w:rPr>
          <w:rFonts w:ascii="仿宋_GB2312" w:eastAsia="仿宋_GB2312"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Heiti SC Light">
    <w:altName w:val="宋体"/>
    <w:panose1 w:val="00000000000000000000"/>
    <w:charset w:val="86"/>
    <w:family w:val="auto"/>
    <w:pitch w:val="default"/>
    <w:sig w:usb0="00000000" w:usb1="00000000" w:usb2="00000010" w:usb3="00000000" w:csb0="003E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Neue">
    <w:altName w:val="Times New Roman"/>
    <w:panose1 w:val="00000000000000000000"/>
    <w:charset w:val="00"/>
    <w:family w:val="auto"/>
    <w:pitch w:val="default"/>
    <w:sig w:usb0="00000000" w:usb1="00000000" w:usb2="0000001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2253C"/>
    <w:multiLevelType w:val="multilevel"/>
    <w:tmpl w:val="1682253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4NWE4ZThhNjhmZDEzMzNhNThhYTZlMDA0MGJlODUifQ=="/>
  </w:docVars>
  <w:rsids>
    <w:rsidRoot w:val="00463612"/>
    <w:rsid w:val="0000204C"/>
    <w:rsid w:val="00075CB0"/>
    <w:rsid w:val="00077C51"/>
    <w:rsid w:val="000D4360"/>
    <w:rsid w:val="00160FAB"/>
    <w:rsid w:val="001636FD"/>
    <w:rsid w:val="001658B8"/>
    <w:rsid w:val="00191B5F"/>
    <w:rsid w:val="001A4E01"/>
    <w:rsid w:val="001B4770"/>
    <w:rsid w:val="001C313E"/>
    <w:rsid w:val="001C75A9"/>
    <w:rsid w:val="001D3677"/>
    <w:rsid w:val="00212978"/>
    <w:rsid w:val="0021452C"/>
    <w:rsid w:val="002345DD"/>
    <w:rsid w:val="00234777"/>
    <w:rsid w:val="0024764B"/>
    <w:rsid w:val="002532F9"/>
    <w:rsid w:val="00253339"/>
    <w:rsid w:val="00262C93"/>
    <w:rsid w:val="00262ED4"/>
    <w:rsid w:val="00290063"/>
    <w:rsid w:val="00292D82"/>
    <w:rsid w:val="002A3342"/>
    <w:rsid w:val="002B5CB5"/>
    <w:rsid w:val="002E7EA5"/>
    <w:rsid w:val="00320B7B"/>
    <w:rsid w:val="00333A53"/>
    <w:rsid w:val="0033533E"/>
    <w:rsid w:val="003418BB"/>
    <w:rsid w:val="0034605A"/>
    <w:rsid w:val="00346B68"/>
    <w:rsid w:val="003A37E6"/>
    <w:rsid w:val="003A3DB7"/>
    <w:rsid w:val="003B7AEC"/>
    <w:rsid w:val="004006BF"/>
    <w:rsid w:val="004318E9"/>
    <w:rsid w:val="004437ED"/>
    <w:rsid w:val="0046000D"/>
    <w:rsid w:val="00463612"/>
    <w:rsid w:val="004724E9"/>
    <w:rsid w:val="00481A97"/>
    <w:rsid w:val="004935A8"/>
    <w:rsid w:val="00495C74"/>
    <w:rsid w:val="004E2BCD"/>
    <w:rsid w:val="004E59BC"/>
    <w:rsid w:val="004F2039"/>
    <w:rsid w:val="00504D50"/>
    <w:rsid w:val="005466B5"/>
    <w:rsid w:val="00581D20"/>
    <w:rsid w:val="00590AF3"/>
    <w:rsid w:val="005A1A18"/>
    <w:rsid w:val="005A2CE8"/>
    <w:rsid w:val="005D7EE7"/>
    <w:rsid w:val="00602913"/>
    <w:rsid w:val="00610739"/>
    <w:rsid w:val="00611602"/>
    <w:rsid w:val="00627602"/>
    <w:rsid w:val="00644DBE"/>
    <w:rsid w:val="006524E6"/>
    <w:rsid w:val="00664373"/>
    <w:rsid w:val="006840CD"/>
    <w:rsid w:val="00690CD6"/>
    <w:rsid w:val="006B2CCF"/>
    <w:rsid w:val="006B45A3"/>
    <w:rsid w:val="006C1F75"/>
    <w:rsid w:val="006C22E3"/>
    <w:rsid w:val="006C264B"/>
    <w:rsid w:val="006E65D2"/>
    <w:rsid w:val="006F0957"/>
    <w:rsid w:val="00707CFE"/>
    <w:rsid w:val="00752557"/>
    <w:rsid w:val="00754300"/>
    <w:rsid w:val="00775327"/>
    <w:rsid w:val="007A5B03"/>
    <w:rsid w:val="007C3A19"/>
    <w:rsid w:val="007E0C99"/>
    <w:rsid w:val="007F51B7"/>
    <w:rsid w:val="0081009D"/>
    <w:rsid w:val="00820C72"/>
    <w:rsid w:val="008340A5"/>
    <w:rsid w:val="0086426D"/>
    <w:rsid w:val="008942AE"/>
    <w:rsid w:val="008C0428"/>
    <w:rsid w:val="008D2CB4"/>
    <w:rsid w:val="008F1C4A"/>
    <w:rsid w:val="008F6A68"/>
    <w:rsid w:val="009333A5"/>
    <w:rsid w:val="0096552E"/>
    <w:rsid w:val="00966459"/>
    <w:rsid w:val="00981389"/>
    <w:rsid w:val="00982C81"/>
    <w:rsid w:val="009B7AAB"/>
    <w:rsid w:val="009E776F"/>
    <w:rsid w:val="00A02CE2"/>
    <w:rsid w:val="00A03C2D"/>
    <w:rsid w:val="00A120C5"/>
    <w:rsid w:val="00A12A64"/>
    <w:rsid w:val="00A17582"/>
    <w:rsid w:val="00A26417"/>
    <w:rsid w:val="00A51378"/>
    <w:rsid w:val="00A67B5A"/>
    <w:rsid w:val="00A7596A"/>
    <w:rsid w:val="00A8485D"/>
    <w:rsid w:val="00AA333E"/>
    <w:rsid w:val="00AA35B8"/>
    <w:rsid w:val="00AA7892"/>
    <w:rsid w:val="00AD5EA8"/>
    <w:rsid w:val="00B4579F"/>
    <w:rsid w:val="00B473B2"/>
    <w:rsid w:val="00B50B2B"/>
    <w:rsid w:val="00B96989"/>
    <w:rsid w:val="00BA2221"/>
    <w:rsid w:val="00BA664C"/>
    <w:rsid w:val="00BE338E"/>
    <w:rsid w:val="00BF73AB"/>
    <w:rsid w:val="00C1229B"/>
    <w:rsid w:val="00C50320"/>
    <w:rsid w:val="00C63C85"/>
    <w:rsid w:val="00C7205E"/>
    <w:rsid w:val="00C8153E"/>
    <w:rsid w:val="00C83C13"/>
    <w:rsid w:val="00CA0A30"/>
    <w:rsid w:val="00CC5FCE"/>
    <w:rsid w:val="00CD0C1D"/>
    <w:rsid w:val="00CD4CF5"/>
    <w:rsid w:val="00CE0EDD"/>
    <w:rsid w:val="00CF0C9D"/>
    <w:rsid w:val="00D15A47"/>
    <w:rsid w:val="00D368FE"/>
    <w:rsid w:val="00D4688B"/>
    <w:rsid w:val="00DD7A01"/>
    <w:rsid w:val="00DE78B2"/>
    <w:rsid w:val="00DF131E"/>
    <w:rsid w:val="00E030AC"/>
    <w:rsid w:val="00E272BD"/>
    <w:rsid w:val="00E33FB4"/>
    <w:rsid w:val="00E43628"/>
    <w:rsid w:val="00E60D0D"/>
    <w:rsid w:val="00E944B0"/>
    <w:rsid w:val="00EB535B"/>
    <w:rsid w:val="00EE443B"/>
    <w:rsid w:val="00F41640"/>
    <w:rsid w:val="00F5003F"/>
    <w:rsid w:val="00F549EB"/>
    <w:rsid w:val="00F72BCB"/>
    <w:rsid w:val="00F75778"/>
    <w:rsid w:val="00F75A53"/>
    <w:rsid w:val="00FA14B3"/>
    <w:rsid w:val="00FF38CE"/>
    <w:rsid w:val="2B6A713F"/>
    <w:rsid w:val="6DCA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7"/>
    <w:semiHidden/>
    <w:unhideWhenUsed/>
    <w:uiPriority w:val="99"/>
    <w:pPr>
      <w:tabs>
        <w:tab w:val="center" w:pos="4153"/>
        <w:tab w:val="right" w:pos="8306"/>
      </w:tabs>
      <w:snapToGrid w:val="0"/>
      <w:jc w:val="left"/>
    </w:pPr>
    <w:rPr>
      <w:sz w:val="18"/>
      <w:szCs w:val="18"/>
    </w:rPr>
  </w:style>
  <w:style w:type="paragraph" w:styleId="3">
    <w:name w:val="header"/>
    <w:basedOn w:val="1"/>
    <w:link w:val="16"/>
    <w:semiHidden/>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99"/>
    <w:rPr>
      <w:rFonts w:cs="Times New Roman"/>
      <w:b/>
    </w:rPr>
  </w:style>
  <w:style w:type="paragraph" w:customStyle="1" w:styleId="8">
    <w:name w:val="正文每章标题"/>
    <w:basedOn w:val="1"/>
    <w:uiPriority w:val="0"/>
    <w:rPr>
      <w:rFonts w:eastAsia="Heiti SC Light"/>
    </w:rPr>
  </w:style>
  <w:style w:type="paragraph" w:customStyle="1" w:styleId="9">
    <w:name w:val="总标题"/>
    <w:basedOn w:val="1"/>
    <w:next w:val="1"/>
    <w:uiPriority w:val="0"/>
    <w:pPr>
      <w:spacing w:line="360" w:lineRule="auto"/>
    </w:pPr>
    <w:rPr>
      <w:sz w:val="36"/>
    </w:rPr>
  </w:style>
  <w:style w:type="paragraph" w:customStyle="1" w:styleId="10">
    <w:name w:val="样式1"/>
    <w:basedOn w:val="1"/>
    <w:uiPriority w:val="0"/>
    <w:rPr>
      <w:b/>
      <w:szCs w:val="32"/>
    </w:rPr>
  </w:style>
  <w:style w:type="paragraph" w:customStyle="1" w:styleId="11">
    <w:name w:val="样式2"/>
    <w:basedOn w:val="1"/>
    <w:next w:val="1"/>
    <w:uiPriority w:val="0"/>
    <w:rPr>
      <w:b/>
    </w:rPr>
  </w:style>
  <w:style w:type="paragraph" w:customStyle="1" w:styleId="12">
    <w:name w:val="样式3"/>
    <w:basedOn w:val="1"/>
    <w:next w:val="1"/>
    <w:uiPriority w:val="0"/>
    <w:rPr>
      <w:b/>
    </w:rPr>
  </w:style>
  <w:style w:type="paragraph" w:customStyle="1" w:styleId="13">
    <w:name w:val="样式4"/>
    <w:basedOn w:val="1"/>
    <w:uiPriority w:val="0"/>
    <w:rPr>
      <w:b/>
    </w:rPr>
  </w:style>
  <w:style w:type="paragraph" w:customStyle="1" w:styleId="14">
    <w:name w:val="样式5"/>
    <w:basedOn w:val="1"/>
    <w:next w:val="1"/>
    <w:uiPriority w:val="0"/>
    <w:rPr>
      <w:rFonts w:eastAsia="Times New Roman"/>
      <w:b/>
    </w:rPr>
  </w:style>
  <w:style w:type="paragraph" w:styleId="15">
    <w:name w:val="List Paragraph"/>
    <w:basedOn w:val="1"/>
    <w:qFormat/>
    <w:uiPriority w:val="34"/>
    <w:pPr>
      <w:ind w:firstLine="420" w:firstLineChars="200"/>
    </w:pPr>
  </w:style>
  <w:style w:type="character" w:customStyle="1" w:styleId="16">
    <w:name w:val="页眉 字符"/>
    <w:basedOn w:val="6"/>
    <w:link w:val="3"/>
    <w:semiHidden/>
    <w:uiPriority w:val="99"/>
    <w:rPr>
      <w:rFonts w:asciiTheme="minorHAnsi" w:hAnsiTheme="minorHAnsi" w:eastAsiaTheme="minorEastAsia" w:cstheme="minorBidi"/>
      <w:kern w:val="2"/>
      <w:sz w:val="18"/>
      <w:szCs w:val="18"/>
    </w:rPr>
  </w:style>
  <w:style w:type="character" w:customStyle="1" w:styleId="17">
    <w:name w:val="页脚 字符"/>
    <w:basedOn w:val="6"/>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92D4D-0DB8-4907-8426-E7CFE8E3F4C4}">
  <ds:schemaRefs/>
</ds:datastoreItem>
</file>

<file path=docProps/app.xml><?xml version="1.0" encoding="utf-8"?>
<Properties xmlns="http://schemas.openxmlformats.org/officeDocument/2006/extended-properties" xmlns:vt="http://schemas.openxmlformats.org/officeDocument/2006/docPropsVTypes">
  <Template>Normal</Template>
  <Pages>6</Pages>
  <Words>3027</Words>
  <Characters>3136</Characters>
  <Lines>22</Lines>
  <Paragraphs>6</Paragraphs>
  <TotalTime>51</TotalTime>
  <ScaleCrop>false</ScaleCrop>
  <LinksUpToDate>false</LinksUpToDate>
  <CharactersWithSpaces>3140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2022-11-07T07:30:00Z</dcterms:created>
  <dc:creator>995752110@qq.com</dc:creator>
  <cp:lastModifiedBy>刘良菊</cp:lastModifiedBy>
  <dcterms:modified xsi:type="dcterms:W3CDTF">2022-11-11T08:49:38Z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E4CF3CCADC9B42CAAB1289A2FEE20F8E</vt:lpwstr>
  </property>
</Properties>
</file>