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8767A" w14:textId="77777777" w:rsidR="00386CED" w:rsidRDefault="0003512A">
      <w:pPr>
        <w:jc w:val="center"/>
        <w:rPr>
          <w:rFonts w:ascii="Times New Roman" w:eastAsia="宋体" w:hAnsi="Times New Roman" w:cs="Times New Roman"/>
          <w:b/>
          <w:bCs/>
          <w:color w:val="000000" w:themeColor="text1"/>
          <w:kern w:val="0"/>
          <w:sz w:val="36"/>
          <w:szCs w:val="36"/>
        </w:rPr>
      </w:pPr>
      <w:r>
        <w:rPr>
          <w:rFonts w:ascii="Times New Roman" w:eastAsia="宋体" w:hAnsi="Times New Roman" w:cs="Times New Roman"/>
          <w:b/>
          <w:bCs/>
          <w:color w:val="000000" w:themeColor="text1"/>
          <w:kern w:val="0"/>
          <w:sz w:val="36"/>
          <w:szCs w:val="36"/>
        </w:rPr>
        <w:t>四川大学华西医院临床营养科进修招生简章</w:t>
      </w:r>
    </w:p>
    <w:p w14:paraId="7DC5E7A8" w14:textId="77777777" w:rsidR="00386CED" w:rsidRDefault="00386CED">
      <w:pPr>
        <w:rPr>
          <w:rFonts w:ascii="Times New Roman" w:eastAsia="宋体" w:hAnsi="Times New Roman" w:cs="Times New Roman"/>
          <w:bCs/>
          <w:color w:val="000000" w:themeColor="text1"/>
          <w:kern w:val="0"/>
          <w:sz w:val="24"/>
          <w:szCs w:val="24"/>
        </w:rPr>
      </w:pPr>
    </w:p>
    <w:p w14:paraId="2C5500DC" w14:textId="77777777" w:rsidR="00386CED" w:rsidRDefault="0003512A">
      <w:pPr>
        <w:spacing w:line="360" w:lineRule="auto"/>
        <w:ind w:firstLineChars="200" w:firstLine="482"/>
        <w:rPr>
          <w:rFonts w:ascii="Times New Roman" w:eastAsia="宋体" w:hAnsi="Times New Roman" w:cs="Times New Roman"/>
          <w:b/>
          <w:bCs/>
          <w:color w:val="000000" w:themeColor="text1"/>
          <w:kern w:val="0"/>
          <w:sz w:val="24"/>
          <w:szCs w:val="24"/>
        </w:rPr>
      </w:pPr>
      <w:r>
        <w:rPr>
          <w:rFonts w:ascii="Times New Roman" w:eastAsia="宋体" w:hAnsi="Times New Roman" w:cs="Times New Roman"/>
          <w:b/>
          <w:bCs/>
          <w:color w:val="000000" w:themeColor="text1"/>
          <w:kern w:val="0"/>
          <w:sz w:val="24"/>
          <w:szCs w:val="24"/>
        </w:rPr>
        <w:t>一、科室简介</w:t>
      </w:r>
    </w:p>
    <w:p w14:paraId="540EAFE4" w14:textId="755AF851"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、学科建设</w:t>
      </w:r>
    </w:p>
    <w:p w14:paraId="527EB1F7"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四川大学华西医院临床营养科源于</w:t>
      </w:r>
      <w:r>
        <w:rPr>
          <w:rFonts w:ascii="Times New Roman" w:eastAsia="宋体" w:hAnsi="Times New Roman" w:cs="Times New Roman"/>
          <w:bCs/>
          <w:color w:val="000000" w:themeColor="text1"/>
          <w:kern w:val="0"/>
          <w:sz w:val="24"/>
          <w:szCs w:val="24"/>
        </w:rPr>
        <w:t>1946</w:t>
      </w:r>
      <w:r>
        <w:rPr>
          <w:rFonts w:ascii="Times New Roman" w:eastAsia="宋体" w:hAnsi="Times New Roman" w:cs="Times New Roman"/>
          <w:bCs/>
          <w:color w:val="000000" w:themeColor="text1"/>
          <w:kern w:val="0"/>
          <w:sz w:val="24"/>
          <w:szCs w:val="24"/>
        </w:rPr>
        <w:t>年华西协和大学新医院创立的营养部，科室经过七十多年发展历史，先后获得全国</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十佳营养科</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、首批全国</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临床营养科</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建设试点单位，</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四川省临床营养质量控制中心</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中国临床营养示范基地</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中国慢性肾脏病临床营养示范培训中心</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注册营养师实践教学基地</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等称号。此外我科室还被授予</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中国老年医学学会营养与食品安全分会主任委员单位</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中国医师协会临床营养医师专业委员会副主任委员单位</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p>
    <w:p w14:paraId="617E3F66" w14:textId="5B0E5A48"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hint="eastAsia"/>
          <w:bCs/>
          <w:color w:val="000000" w:themeColor="text1"/>
          <w:kern w:val="0"/>
          <w:sz w:val="24"/>
          <w:szCs w:val="24"/>
        </w:rPr>
        <w:t>长期以来，临床营养科在科主任胡雯教授的带领下，利用专业化、规范化、现代化的管理模式</w:t>
      </w:r>
      <w:r>
        <w:rPr>
          <w:rFonts w:ascii="Times New Roman" w:eastAsia="宋体" w:hAnsi="Times New Roman" w:cs="Times New Roman" w:hint="eastAsia"/>
          <w:bCs/>
          <w:color w:val="000000" w:themeColor="text1"/>
          <w:kern w:val="0"/>
          <w:sz w:val="24"/>
          <w:szCs w:val="24"/>
        </w:rPr>
        <w:t>致力于华西医院乃至全省的临床营养工作发展</w:t>
      </w:r>
      <w:r w:rsidRPr="007F3817">
        <w:rPr>
          <w:rFonts w:ascii="Times New Roman" w:eastAsia="宋体" w:hAnsi="Times New Roman" w:cs="Times New Roman" w:hint="eastAsia"/>
          <w:bCs/>
          <w:color w:val="000000" w:themeColor="text1"/>
          <w:kern w:val="0"/>
          <w:sz w:val="24"/>
          <w:szCs w:val="24"/>
        </w:rPr>
        <w:t>，</w:t>
      </w:r>
      <w:r>
        <w:rPr>
          <w:rFonts w:ascii="Times New Roman" w:eastAsia="宋体" w:hAnsi="Times New Roman" w:cs="Times New Roman" w:hint="eastAsia"/>
          <w:bCs/>
          <w:color w:val="000000" w:themeColor="text1"/>
          <w:kern w:val="0"/>
          <w:sz w:val="24"/>
          <w:szCs w:val="24"/>
        </w:rPr>
        <w:t>并以“为医疗事业奉献，为营养专业发展”为宗旨，</w:t>
      </w:r>
      <w:r w:rsidRPr="007F3817">
        <w:rPr>
          <w:rFonts w:ascii="Times New Roman" w:eastAsia="宋体" w:hAnsi="Times New Roman" w:cs="Times New Roman" w:hint="eastAsia"/>
          <w:bCs/>
          <w:color w:val="000000" w:themeColor="text1"/>
          <w:kern w:val="0"/>
          <w:sz w:val="24"/>
          <w:szCs w:val="24"/>
        </w:rPr>
        <w:t>持续推进临床营养学科发展。</w:t>
      </w:r>
      <w:r>
        <w:rPr>
          <w:rFonts w:ascii="Times New Roman" w:eastAsia="宋体" w:hAnsi="Times New Roman" w:cs="Times New Roman"/>
          <w:bCs/>
          <w:color w:val="000000" w:themeColor="text1"/>
          <w:kern w:val="0"/>
          <w:sz w:val="24"/>
          <w:szCs w:val="24"/>
        </w:rPr>
        <w:t>在医疗方面，</w:t>
      </w:r>
      <w:r>
        <w:rPr>
          <w:rFonts w:ascii="Times New Roman" w:eastAsia="宋体" w:hAnsi="Times New Roman" w:cs="Times New Roman" w:hint="eastAsia"/>
          <w:bCs/>
          <w:color w:val="000000" w:themeColor="text1"/>
          <w:kern w:val="0"/>
          <w:sz w:val="24"/>
          <w:szCs w:val="24"/>
        </w:rPr>
        <w:t>科室</w:t>
      </w:r>
      <w:r>
        <w:rPr>
          <w:rFonts w:ascii="Times New Roman" w:eastAsia="宋体" w:hAnsi="Times New Roman" w:cs="Times New Roman"/>
          <w:bCs/>
          <w:color w:val="000000" w:themeColor="text1"/>
          <w:kern w:val="0"/>
          <w:sz w:val="24"/>
          <w:szCs w:val="24"/>
        </w:rPr>
        <w:t>承担起全院</w:t>
      </w:r>
      <w:r>
        <w:rPr>
          <w:rFonts w:ascii="Times New Roman" w:eastAsia="宋体" w:hAnsi="Times New Roman" w:cs="Times New Roman" w:hint="eastAsia"/>
          <w:bCs/>
          <w:color w:val="000000" w:themeColor="text1"/>
          <w:kern w:val="0"/>
          <w:sz w:val="24"/>
          <w:szCs w:val="24"/>
        </w:rPr>
        <w:t>临床营养会诊、营养评估、营养支持治疗、家庭营养管理及医疗膳食管理等工作</w:t>
      </w:r>
      <w:r w:rsidR="00EA619F" w:rsidRPr="007F3817">
        <w:rPr>
          <w:rFonts w:ascii="Times New Roman" w:eastAsia="宋体" w:hAnsi="Times New Roman" w:cs="Times New Roman" w:hint="eastAsia"/>
          <w:bCs/>
          <w:color w:val="000000" w:themeColor="text1"/>
          <w:kern w:val="0"/>
          <w:sz w:val="24"/>
          <w:szCs w:val="24"/>
        </w:rPr>
        <w:t>，</w:t>
      </w:r>
      <w:r>
        <w:rPr>
          <w:rFonts w:ascii="Times New Roman" w:eastAsia="宋体" w:hAnsi="Times New Roman" w:cs="Times New Roman" w:hint="eastAsia"/>
          <w:bCs/>
          <w:color w:val="000000" w:themeColor="text1"/>
          <w:kern w:val="0"/>
          <w:sz w:val="24"/>
          <w:szCs w:val="24"/>
        </w:rPr>
        <w:t>采用循证方法指导临床实践</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hint="eastAsia"/>
          <w:bCs/>
          <w:color w:val="000000" w:themeColor="text1"/>
          <w:kern w:val="0"/>
          <w:sz w:val="24"/>
          <w:szCs w:val="24"/>
        </w:rPr>
        <w:t>开展医院</w:t>
      </w:r>
      <w:r>
        <w:rPr>
          <w:rFonts w:ascii="Times New Roman" w:eastAsia="宋体" w:hAnsi="Times New Roman" w:cs="Times New Roman"/>
          <w:bCs/>
          <w:color w:val="000000" w:themeColor="text1"/>
          <w:kern w:val="0"/>
          <w:sz w:val="24"/>
          <w:szCs w:val="24"/>
        </w:rPr>
        <w:t>NRASA</w:t>
      </w:r>
      <w:r>
        <w:rPr>
          <w:rFonts w:ascii="Times New Roman" w:eastAsia="宋体" w:hAnsi="Times New Roman" w:cs="Times New Roman"/>
          <w:bCs/>
          <w:color w:val="000000" w:themeColor="text1"/>
          <w:kern w:val="0"/>
          <w:sz w:val="24"/>
          <w:szCs w:val="24"/>
        </w:rPr>
        <w:t>营养行动计划</w:t>
      </w:r>
      <w:r>
        <w:rPr>
          <w:rFonts w:ascii="Times New Roman" w:eastAsia="宋体" w:hAnsi="Times New Roman" w:cs="Times New Roman" w:hint="eastAsia"/>
          <w:bCs/>
          <w:color w:val="000000" w:themeColor="text1"/>
          <w:kern w:val="0"/>
          <w:sz w:val="24"/>
          <w:szCs w:val="24"/>
        </w:rPr>
        <w:t>，首创</w:t>
      </w:r>
      <w:r>
        <w:rPr>
          <w:rFonts w:ascii="Times New Roman" w:eastAsia="宋体" w:hAnsi="Times New Roman" w:cs="Times New Roman"/>
          <w:bCs/>
          <w:color w:val="000000" w:themeColor="text1"/>
          <w:kern w:val="0"/>
          <w:sz w:val="24"/>
          <w:szCs w:val="24"/>
        </w:rPr>
        <w:t>H2H</w:t>
      </w:r>
      <w:r>
        <w:rPr>
          <w:rFonts w:ascii="Times New Roman" w:eastAsia="宋体" w:hAnsi="Times New Roman" w:cs="Times New Roman"/>
          <w:bCs/>
          <w:color w:val="000000" w:themeColor="text1"/>
          <w:kern w:val="0"/>
          <w:sz w:val="24"/>
          <w:szCs w:val="24"/>
        </w:rPr>
        <w:t>营养管理新模式</w:t>
      </w:r>
      <w:r>
        <w:rPr>
          <w:rFonts w:ascii="Times New Roman" w:eastAsia="宋体" w:hAnsi="Times New Roman" w:cs="Times New Roman" w:hint="eastAsia"/>
          <w:bCs/>
          <w:color w:val="000000" w:themeColor="text1"/>
          <w:kern w:val="0"/>
          <w:sz w:val="24"/>
          <w:szCs w:val="24"/>
        </w:rPr>
        <w:t>，持续</w:t>
      </w:r>
      <w:r>
        <w:rPr>
          <w:rFonts w:ascii="Times New Roman" w:eastAsia="宋体" w:hAnsi="Times New Roman" w:cs="Times New Roman"/>
          <w:bCs/>
          <w:color w:val="000000" w:themeColor="text1"/>
          <w:kern w:val="0"/>
          <w:sz w:val="24"/>
          <w:szCs w:val="24"/>
        </w:rPr>
        <w:t>规范医院膳食管理</w:t>
      </w:r>
      <w:r>
        <w:rPr>
          <w:rFonts w:ascii="Times New Roman" w:eastAsia="宋体" w:hAnsi="Times New Roman" w:cs="Times New Roman" w:hint="eastAsia"/>
          <w:bCs/>
          <w:color w:val="000000" w:themeColor="text1"/>
          <w:kern w:val="0"/>
          <w:sz w:val="24"/>
          <w:szCs w:val="24"/>
        </w:rPr>
        <w:t>体系；</w:t>
      </w:r>
      <w:r w:rsidRPr="007F3817">
        <w:rPr>
          <w:rFonts w:ascii="Times New Roman" w:eastAsia="宋体" w:hAnsi="Times New Roman" w:cs="Times New Roman" w:hint="eastAsia"/>
          <w:bCs/>
          <w:color w:val="000000" w:themeColor="text1"/>
          <w:kern w:val="0"/>
          <w:sz w:val="24"/>
          <w:szCs w:val="24"/>
        </w:rPr>
        <w:t>在教学方面，</w:t>
      </w:r>
      <w:r>
        <w:rPr>
          <w:rFonts w:ascii="Times New Roman" w:eastAsia="宋体" w:hAnsi="Times New Roman" w:cs="Times New Roman"/>
          <w:bCs/>
          <w:color w:val="000000" w:themeColor="text1"/>
          <w:kern w:val="0"/>
          <w:sz w:val="24"/>
          <w:szCs w:val="24"/>
        </w:rPr>
        <w:t>科室创新建立多维教学培养体系，建立国内临床营养学本科专业，培养了近</w:t>
      </w:r>
      <w:r>
        <w:rPr>
          <w:rFonts w:ascii="Times New Roman" w:eastAsia="宋体" w:hAnsi="Times New Roman" w:cs="Times New Roman"/>
          <w:bCs/>
          <w:color w:val="000000" w:themeColor="text1"/>
          <w:kern w:val="0"/>
          <w:sz w:val="24"/>
          <w:szCs w:val="24"/>
        </w:rPr>
        <w:t>150</w:t>
      </w:r>
      <w:r>
        <w:rPr>
          <w:rFonts w:ascii="Times New Roman" w:eastAsia="宋体" w:hAnsi="Times New Roman" w:cs="Times New Roman" w:hint="eastAsia"/>
          <w:bCs/>
          <w:color w:val="000000" w:themeColor="text1"/>
          <w:kern w:val="0"/>
          <w:sz w:val="24"/>
          <w:szCs w:val="24"/>
        </w:rPr>
        <w:t>名临床营养专业人才</w:t>
      </w:r>
      <w:r w:rsidRPr="004C3618">
        <w:rPr>
          <w:rFonts w:ascii="Times New Roman" w:eastAsia="宋体" w:hAnsi="Times New Roman" w:cs="Times New Roman" w:hint="eastAsia"/>
          <w:bCs/>
          <w:color w:val="000000" w:themeColor="text1"/>
          <w:kern w:val="0"/>
          <w:sz w:val="24"/>
          <w:szCs w:val="24"/>
        </w:rPr>
        <w:t>；全国首创</w:t>
      </w:r>
      <w:r w:rsidRPr="0003512A">
        <w:rPr>
          <w:rFonts w:ascii="Times New Roman" w:eastAsia="宋体" w:hAnsi="Times New Roman" w:cs="Times New Roman"/>
          <w:bCs/>
          <w:color w:val="000000" w:themeColor="text1"/>
          <w:kern w:val="0"/>
          <w:sz w:val="24"/>
          <w:szCs w:val="24"/>
        </w:rPr>
        <w:t>“4+2”</w:t>
      </w:r>
      <w:r w:rsidRPr="00BC082B">
        <w:rPr>
          <w:rFonts w:ascii="Times New Roman" w:eastAsia="宋体" w:hAnsi="Times New Roman" w:cs="Times New Roman" w:hint="eastAsia"/>
          <w:bCs/>
          <w:color w:val="000000" w:themeColor="text1"/>
          <w:kern w:val="0"/>
          <w:sz w:val="24"/>
          <w:szCs w:val="24"/>
        </w:rPr>
        <w:t>住院营养师规范化培训，设立临床营养博士点、硕士点，</w:t>
      </w:r>
      <w:r w:rsidRPr="007F3817">
        <w:rPr>
          <w:rFonts w:ascii="Times New Roman" w:eastAsia="宋体" w:hAnsi="Times New Roman" w:cs="Times New Roman" w:hint="eastAsia"/>
          <w:bCs/>
          <w:color w:val="000000" w:themeColor="text1"/>
          <w:kern w:val="0"/>
          <w:sz w:val="24"/>
          <w:szCs w:val="24"/>
        </w:rPr>
        <w:t>规范化</w:t>
      </w:r>
      <w:r w:rsidRPr="004C3618">
        <w:rPr>
          <w:rFonts w:ascii="Times New Roman" w:eastAsia="宋体" w:hAnsi="Times New Roman" w:cs="Times New Roman" w:hint="eastAsia"/>
          <w:bCs/>
          <w:color w:val="000000" w:themeColor="text1"/>
          <w:kern w:val="0"/>
          <w:sz w:val="24"/>
          <w:szCs w:val="24"/>
        </w:rPr>
        <w:t>培养</w:t>
      </w:r>
      <w:r w:rsidRPr="007F3817">
        <w:rPr>
          <w:rFonts w:ascii="Times New Roman" w:eastAsia="宋体" w:hAnsi="Times New Roman" w:cs="Times New Roman" w:hint="eastAsia"/>
          <w:bCs/>
          <w:color w:val="000000" w:themeColor="text1"/>
          <w:kern w:val="0"/>
          <w:sz w:val="24"/>
          <w:szCs w:val="24"/>
        </w:rPr>
        <w:t>住院</w:t>
      </w:r>
      <w:r w:rsidRPr="004C3618">
        <w:rPr>
          <w:rFonts w:ascii="Times New Roman" w:eastAsia="宋体" w:hAnsi="Times New Roman" w:cs="Times New Roman" w:hint="eastAsia"/>
          <w:bCs/>
          <w:color w:val="000000" w:themeColor="text1"/>
          <w:kern w:val="0"/>
          <w:sz w:val="24"/>
          <w:szCs w:val="24"/>
        </w:rPr>
        <w:t>营养师、硕士研究生、博士研究生上百名</w:t>
      </w:r>
      <w:r>
        <w:rPr>
          <w:rFonts w:ascii="Times New Roman" w:eastAsia="宋体" w:hAnsi="Times New Roman" w:cs="Times New Roman" w:hint="eastAsia"/>
          <w:bCs/>
          <w:color w:val="000000" w:themeColor="text1"/>
          <w:kern w:val="0"/>
          <w:sz w:val="24"/>
          <w:szCs w:val="24"/>
        </w:rPr>
        <w:t>；培养进修生</w:t>
      </w:r>
      <w:r>
        <w:rPr>
          <w:rFonts w:ascii="Times New Roman" w:eastAsia="宋体" w:hAnsi="Times New Roman" w:cs="Times New Roman"/>
          <w:bCs/>
          <w:color w:val="000000" w:themeColor="text1"/>
          <w:kern w:val="0"/>
          <w:sz w:val="24"/>
          <w:szCs w:val="24"/>
        </w:rPr>
        <w:t>154</w:t>
      </w:r>
      <w:r>
        <w:rPr>
          <w:rFonts w:ascii="Times New Roman" w:eastAsia="宋体" w:hAnsi="Times New Roman" w:cs="Times New Roman" w:hint="eastAsia"/>
          <w:bCs/>
          <w:color w:val="000000" w:themeColor="text1"/>
          <w:kern w:val="0"/>
          <w:sz w:val="24"/>
          <w:szCs w:val="24"/>
        </w:rPr>
        <w:t>名，覆盖全国</w:t>
      </w:r>
      <w:r>
        <w:rPr>
          <w:rFonts w:ascii="Times New Roman" w:eastAsia="宋体" w:hAnsi="Times New Roman" w:cs="Times New Roman"/>
          <w:bCs/>
          <w:color w:val="000000" w:themeColor="text1"/>
          <w:kern w:val="0"/>
          <w:sz w:val="24"/>
          <w:szCs w:val="24"/>
        </w:rPr>
        <w:t>24</w:t>
      </w:r>
      <w:r>
        <w:rPr>
          <w:rFonts w:ascii="Times New Roman" w:eastAsia="宋体" w:hAnsi="Times New Roman" w:cs="Times New Roman" w:hint="eastAsia"/>
          <w:bCs/>
          <w:color w:val="000000" w:themeColor="text1"/>
          <w:kern w:val="0"/>
          <w:sz w:val="24"/>
          <w:szCs w:val="24"/>
        </w:rPr>
        <w:t>个省、直辖市、自治区；年度开展培训百余次</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hint="eastAsia"/>
          <w:bCs/>
          <w:color w:val="000000" w:themeColor="text1"/>
          <w:kern w:val="0"/>
          <w:sz w:val="24"/>
          <w:szCs w:val="24"/>
        </w:rPr>
        <w:t>年，主办全国性学术论坛及继续教育项目</w:t>
      </w:r>
      <w:r>
        <w:rPr>
          <w:rFonts w:ascii="Times New Roman" w:eastAsia="宋体" w:hAnsi="Times New Roman" w:cs="Times New Roman"/>
          <w:bCs/>
          <w:color w:val="000000" w:themeColor="text1"/>
          <w:kern w:val="0"/>
          <w:sz w:val="24"/>
          <w:szCs w:val="24"/>
        </w:rPr>
        <w:t>10</w:t>
      </w:r>
      <w:r>
        <w:rPr>
          <w:rFonts w:ascii="Times New Roman" w:eastAsia="宋体" w:hAnsi="Times New Roman" w:cs="Times New Roman" w:hint="eastAsia"/>
          <w:bCs/>
          <w:color w:val="000000" w:themeColor="text1"/>
          <w:kern w:val="0"/>
          <w:sz w:val="24"/>
          <w:szCs w:val="24"/>
        </w:rPr>
        <w:t>余次，组织开展如科普讲座、义诊、基层医院帮扶、联盟医院科普传播等工作，为全国各大省市医院、养老机构等培养优秀营养骨干人才上百人；</w:t>
      </w:r>
      <w:r>
        <w:rPr>
          <w:rFonts w:ascii="Times New Roman" w:eastAsia="宋体" w:hAnsi="Times New Roman" w:cs="Times New Roman"/>
          <w:bCs/>
          <w:color w:val="000000" w:themeColor="text1"/>
          <w:kern w:val="0"/>
          <w:sz w:val="24"/>
          <w:szCs w:val="24"/>
        </w:rPr>
        <w:t>在</w:t>
      </w:r>
      <w:r>
        <w:rPr>
          <w:rFonts w:ascii="Times New Roman" w:eastAsia="宋体" w:hAnsi="Times New Roman" w:cs="Times New Roman" w:hint="eastAsia"/>
          <w:bCs/>
          <w:color w:val="000000" w:themeColor="text1"/>
          <w:kern w:val="0"/>
          <w:sz w:val="24"/>
          <w:szCs w:val="24"/>
        </w:rPr>
        <w:t>科研</w:t>
      </w:r>
      <w:r>
        <w:rPr>
          <w:rFonts w:ascii="Times New Roman" w:eastAsia="宋体" w:hAnsi="Times New Roman" w:cs="Times New Roman"/>
          <w:bCs/>
          <w:color w:val="000000" w:themeColor="text1"/>
          <w:kern w:val="0"/>
          <w:sz w:val="24"/>
          <w:szCs w:val="24"/>
        </w:rPr>
        <w:t>方面</w:t>
      </w:r>
      <w:r>
        <w:rPr>
          <w:rFonts w:ascii="Times New Roman" w:eastAsia="宋体" w:hAnsi="Times New Roman" w:cs="Times New Roman" w:hint="eastAsia"/>
          <w:bCs/>
          <w:color w:val="000000" w:themeColor="text1"/>
          <w:kern w:val="0"/>
          <w:sz w:val="24"/>
          <w:szCs w:val="24"/>
        </w:rPr>
        <w:t>，</w:t>
      </w:r>
      <w:r>
        <w:rPr>
          <w:rFonts w:ascii="Times New Roman" w:eastAsia="宋体" w:hAnsi="Times New Roman" w:cs="Times New Roman"/>
          <w:bCs/>
          <w:color w:val="000000" w:themeColor="text1"/>
          <w:kern w:val="0"/>
          <w:sz w:val="24"/>
          <w:szCs w:val="24"/>
        </w:rPr>
        <w:t>科室主持并推进了包括国家级自然科学基金、国家十三五科技重点研发、四川省科技</w:t>
      </w:r>
      <w:proofErr w:type="gramStart"/>
      <w:r>
        <w:rPr>
          <w:rFonts w:ascii="Times New Roman" w:eastAsia="宋体" w:hAnsi="Times New Roman" w:cs="Times New Roman"/>
          <w:bCs/>
          <w:color w:val="000000" w:themeColor="text1"/>
          <w:kern w:val="0"/>
          <w:sz w:val="24"/>
          <w:szCs w:val="24"/>
        </w:rPr>
        <w:t>厅卫生</w:t>
      </w:r>
      <w:proofErr w:type="gramEnd"/>
      <w:r>
        <w:rPr>
          <w:rFonts w:ascii="Times New Roman" w:eastAsia="宋体" w:hAnsi="Times New Roman" w:cs="Times New Roman"/>
          <w:bCs/>
          <w:color w:val="000000" w:themeColor="text1"/>
          <w:kern w:val="0"/>
          <w:sz w:val="24"/>
          <w:szCs w:val="24"/>
        </w:rPr>
        <w:t>厅等在内的十余项科研项目，发表论文上百余篇。</w:t>
      </w:r>
      <w:r w:rsidR="00EA619F" w:rsidRPr="007F3817">
        <w:rPr>
          <w:rFonts w:ascii="Times New Roman" w:eastAsia="宋体" w:hAnsi="Times New Roman" w:cs="Times New Roman" w:hint="eastAsia"/>
          <w:bCs/>
          <w:color w:val="000000" w:themeColor="text1"/>
          <w:kern w:val="0"/>
          <w:sz w:val="24"/>
          <w:szCs w:val="24"/>
        </w:rPr>
        <w:t>此外，</w:t>
      </w:r>
      <w:r>
        <w:rPr>
          <w:rFonts w:ascii="Times New Roman" w:eastAsia="宋体" w:hAnsi="Times New Roman" w:cs="Times New Roman"/>
          <w:bCs/>
          <w:color w:val="000000" w:themeColor="text1"/>
          <w:kern w:val="0"/>
          <w:sz w:val="24"/>
          <w:szCs w:val="24"/>
        </w:rPr>
        <w:t>参与国内医学营养治疗指南</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共识编写、制定；主编</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参</w:t>
      </w:r>
      <w:proofErr w:type="gramStart"/>
      <w:r>
        <w:rPr>
          <w:rFonts w:ascii="Times New Roman" w:eastAsia="宋体" w:hAnsi="Times New Roman" w:cs="Times New Roman"/>
          <w:bCs/>
          <w:color w:val="000000" w:themeColor="text1"/>
          <w:kern w:val="0"/>
          <w:sz w:val="24"/>
          <w:szCs w:val="24"/>
        </w:rPr>
        <w:t>编人卫社</w:t>
      </w:r>
      <w:proofErr w:type="gramEnd"/>
      <w:r>
        <w:rPr>
          <w:rFonts w:ascii="Times New Roman" w:eastAsia="宋体" w:hAnsi="Times New Roman" w:cs="Times New Roman"/>
          <w:bCs/>
          <w:color w:val="000000" w:themeColor="text1"/>
          <w:kern w:val="0"/>
          <w:sz w:val="24"/>
          <w:szCs w:val="24"/>
        </w:rPr>
        <w:t>出版专著，参与国家</w:t>
      </w:r>
      <w:r>
        <w:rPr>
          <w:rFonts w:ascii="Times New Roman" w:eastAsia="宋体" w:hAnsi="Times New Roman" w:cs="Times New Roman"/>
          <w:bCs/>
          <w:color w:val="000000" w:themeColor="text1"/>
          <w:kern w:val="0"/>
          <w:sz w:val="24"/>
          <w:szCs w:val="24"/>
        </w:rPr>
        <w:t>CFDA</w:t>
      </w:r>
      <w:r>
        <w:rPr>
          <w:rFonts w:ascii="Times New Roman" w:eastAsia="宋体" w:hAnsi="Times New Roman" w:cs="Times New Roman"/>
          <w:bCs/>
          <w:color w:val="000000" w:themeColor="text1"/>
          <w:kern w:val="0"/>
          <w:sz w:val="24"/>
          <w:szCs w:val="24"/>
        </w:rPr>
        <w:t>特殊医学用途配方食品（</w:t>
      </w:r>
      <w:r>
        <w:rPr>
          <w:rFonts w:ascii="Times New Roman" w:eastAsia="宋体" w:hAnsi="Times New Roman" w:cs="Times New Roman"/>
          <w:bCs/>
          <w:color w:val="000000" w:themeColor="text1"/>
          <w:kern w:val="0"/>
          <w:sz w:val="24"/>
          <w:szCs w:val="24"/>
        </w:rPr>
        <w:t>FSMP</w:t>
      </w:r>
      <w:r>
        <w:rPr>
          <w:rFonts w:ascii="Times New Roman" w:eastAsia="宋体" w:hAnsi="Times New Roman" w:cs="Times New Roman"/>
          <w:bCs/>
          <w:color w:val="000000" w:themeColor="text1"/>
          <w:kern w:val="0"/>
          <w:sz w:val="24"/>
          <w:szCs w:val="24"/>
        </w:rPr>
        <w:t>）标准制定，参与国家</w:t>
      </w:r>
      <w:proofErr w:type="gramStart"/>
      <w:r>
        <w:rPr>
          <w:rFonts w:ascii="Times New Roman" w:eastAsia="宋体" w:hAnsi="Times New Roman" w:cs="Times New Roman"/>
          <w:bCs/>
          <w:color w:val="000000" w:themeColor="text1"/>
          <w:kern w:val="0"/>
          <w:sz w:val="24"/>
          <w:szCs w:val="24"/>
        </w:rPr>
        <w:t>卫健委优质</w:t>
      </w:r>
      <w:proofErr w:type="gramEnd"/>
      <w:r>
        <w:rPr>
          <w:rFonts w:ascii="Times New Roman" w:eastAsia="宋体" w:hAnsi="Times New Roman" w:cs="Times New Roman"/>
          <w:bCs/>
          <w:color w:val="000000" w:themeColor="text1"/>
          <w:kern w:val="0"/>
          <w:sz w:val="24"/>
          <w:szCs w:val="24"/>
        </w:rPr>
        <w:t>医院评审标准中临床营养评审标准制定与修订</w:t>
      </w:r>
      <w:r w:rsidR="00BC082B" w:rsidRPr="007F3817">
        <w:rPr>
          <w:rFonts w:ascii="Times New Roman" w:eastAsia="宋体" w:hAnsi="Times New Roman" w:cs="Times New Roman" w:hint="eastAsia"/>
          <w:bCs/>
          <w:color w:val="000000" w:themeColor="text1"/>
          <w:kern w:val="0"/>
          <w:sz w:val="24"/>
          <w:szCs w:val="24"/>
        </w:rPr>
        <w:t>，</w:t>
      </w:r>
      <w:r>
        <w:rPr>
          <w:rFonts w:ascii="Times New Roman" w:eastAsia="宋体" w:hAnsi="Times New Roman" w:cs="Times New Roman"/>
          <w:bCs/>
          <w:color w:val="000000" w:themeColor="text1"/>
          <w:kern w:val="0"/>
          <w:sz w:val="24"/>
          <w:szCs w:val="24"/>
        </w:rPr>
        <w:t>获得华夏医学科技创新奖、四川省科技进步奖等</w:t>
      </w:r>
      <w:r>
        <w:rPr>
          <w:rFonts w:ascii="Times New Roman" w:eastAsia="宋体" w:hAnsi="Times New Roman" w:cs="Times New Roman" w:hint="eastAsia"/>
          <w:bCs/>
          <w:color w:val="000000" w:themeColor="text1"/>
          <w:kern w:val="0"/>
          <w:sz w:val="24"/>
          <w:szCs w:val="24"/>
        </w:rPr>
        <w:t>国家级、</w:t>
      </w:r>
      <w:r>
        <w:rPr>
          <w:rFonts w:ascii="Times New Roman" w:eastAsia="宋体" w:hAnsi="Times New Roman" w:cs="Times New Roman"/>
          <w:bCs/>
          <w:color w:val="000000" w:themeColor="text1"/>
          <w:kern w:val="0"/>
          <w:sz w:val="24"/>
          <w:szCs w:val="24"/>
        </w:rPr>
        <w:t>省部级</w:t>
      </w:r>
      <w:r>
        <w:rPr>
          <w:rFonts w:ascii="Times New Roman" w:eastAsia="宋体" w:hAnsi="Times New Roman" w:cs="Times New Roman" w:hint="eastAsia"/>
          <w:bCs/>
          <w:color w:val="000000" w:themeColor="text1"/>
          <w:kern w:val="0"/>
          <w:sz w:val="24"/>
          <w:szCs w:val="24"/>
        </w:rPr>
        <w:t>奖项</w:t>
      </w:r>
      <w:r>
        <w:rPr>
          <w:rFonts w:ascii="Times New Roman" w:eastAsia="宋体" w:hAnsi="Times New Roman" w:cs="Times New Roman" w:hint="eastAsia"/>
          <w:bCs/>
          <w:color w:val="000000" w:themeColor="text1"/>
          <w:kern w:val="0"/>
          <w:sz w:val="24"/>
          <w:szCs w:val="24"/>
        </w:rPr>
        <w:t>3</w:t>
      </w:r>
      <w:r>
        <w:rPr>
          <w:rFonts w:ascii="Times New Roman" w:eastAsia="宋体" w:hAnsi="Times New Roman" w:cs="Times New Roman"/>
          <w:bCs/>
          <w:color w:val="000000" w:themeColor="text1"/>
          <w:kern w:val="0"/>
          <w:sz w:val="24"/>
          <w:szCs w:val="24"/>
        </w:rPr>
        <w:t>项。</w:t>
      </w:r>
    </w:p>
    <w:p w14:paraId="435310C2"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hint="eastAsia"/>
          <w:bCs/>
          <w:color w:val="000000" w:themeColor="text1"/>
          <w:kern w:val="0"/>
          <w:sz w:val="24"/>
          <w:szCs w:val="24"/>
        </w:rPr>
        <w:t>华西医院临床营养科始终致力于我国临床营养专业建设与发展的前沿，除了</w:t>
      </w:r>
      <w:r>
        <w:rPr>
          <w:rFonts w:ascii="Times New Roman" w:eastAsia="宋体" w:hAnsi="Times New Roman" w:cs="Times New Roman" w:hint="eastAsia"/>
          <w:bCs/>
          <w:color w:val="000000" w:themeColor="text1"/>
          <w:kern w:val="0"/>
          <w:sz w:val="24"/>
          <w:szCs w:val="24"/>
        </w:rPr>
        <w:lastRenderedPageBreak/>
        <w:t>承担华西医院临床营养医、教、研工作，还积极开展科普宣传、扶贫帮扶等工作承担应有的社会责任，为我国西部地区乃至全国临床营养学科发展起到了积极的引领作用。</w:t>
      </w:r>
    </w:p>
    <w:p w14:paraId="64B6C11C" w14:textId="77777777" w:rsidR="00386CED" w:rsidRDefault="00386CED">
      <w:pPr>
        <w:spacing w:line="360" w:lineRule="auto"/>
        <w:ind w:firstLineChars="200" w:firstLine="480"/>
        <w:rPr>
          <w:rFonts w:ascii="Times New Roman" w:eastAsia="宋体" w:hAnsi="Times New Roman" w:cs="Times New Roman"/>
          <w:bCs/>
          <w:color w:val="000000" w:themeColor="text1"/>
          <w:kern w:val="0"/>
          <w:sz w:val="24"/>
          <w:szCs w:val="24"/>
        </w:rPr>
      </w:pPr>
    </w:p>
    <w:p w14:paraId="76728201"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2</w:t>
      </w:r>
      <w:r>
        <w:rPr>
          <w:rFonts w:ascii="Times New Roman" w:eastAsia="宋体" w:hAnsi="Times New Roman" w:cs="Times New Roman"/>
          <w:bCs/>
          <w:color w:val="000000" w:themeColor="text1"/>
          <w:kern w:val="0"/>
          <w:sz w:val="24"/>
          <w:szCs w:val="24"/>
        </w:rPr>
        <w:t>、科室现有专业组、师资情况</w:t>
      </w:r>
    </w:p>
    <w:p w14:paraId="21F2460B" w14:textId="73017AF2"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目前临床营养</w:t>
      </w:r>
      <w:proofErr w:type="gramStart"/>
      <w:r>
        <w:rPr>
          <w:rFonts w:ascii="Times New Roman" w:eastAsia="宋体" w:hAnsi="Times New Roman" w:cs="Times New Roman"/>
          <w:bCs/>
          <w:color w:val="000000" w:themeColor="text1"/>
          <w:kern w:val="0"/>
          <w:sz w:val="24"/>
          <w:szCs w:val="24"/>
        </w:rPr>
        <w:t>科分为</w:t>
      </w:r>
      <w:r w:rsidRPr="007F3817">
        <w:rPr>
          <w:rFonts w:ascii="Times New Roman" w:eastAsia="宋体" w:hAnsi="Times New Roman" w:cs="Times New Roman"/>
          <w:bCs/>
          <w:color w:val="000000" w:themeColor="text1"/>
          <w:kern w:val="0"/>
          <w:sz w:val="24"/>
          <w:szCs w:val="24"/>
        </w:rPr>
        <w:t>8</w:t>
      </w:r>
      <w:r>
        <w:rPr>
          <w:rFonts w:ascii="Times New Roman" w:eastAsia="宋体" w:hAnsi="Times New Roman" w:cs="Times New Roman"/>
          <w:bCs/>
          <w:color w:val="000000" w:themeColor="text1"/>
          <w:kern w:val="0"/>
          <w:sz w:val="24"/>
          <w:szCs w:val="24"/>
        </w:rPr>
        <w:t>个亚专业</w:t>
      </w:r>
      <w:proofErr w:type="gramEnd"/>
      <w:r>
        <w:rPr>
          <w:rFonts w:ascii="Times New Roman" w:eastAsia="宋体" w:hAnsi="Times New Roman" w:cs="Times New Roman" w:hint="eastAsia"/>
          <w:bCs/>
          <w:color w:val="000000" w:themeColor="text1"/>
          <w:kern w:val="0"/>
          <w:sz w:val="24"/>
          <w:szCs w:val="24"/>
        </w:rPr>
        <w:t>方向</w:t>
      </w:r>
      <w:r>
        <w:rPr>
          <w:rFonts w:ascii="Times New Roman" w:eastAsia="宋体" w:hAnsi="Times New Roman" w:cs="Times New Roman"/>
          <w:bCs/>
          <w:color w:val="000000" w:themeColor="text1"/>
          <w:kern w:val="0"/>
          <w:sz w:val="24"/>
          <w:szCs w:val="24"/>
        </w:rPr>
        <w:t>，涵盖老年、肾内</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内分泌、消化、心理、重症急诊、外科</w:t>
      </w:r>
      <w:r>
        <w:rPr>
          <w:rFonts w:ascii="Times New Roman" w:eastAsia="宋体" w:hAnsi="Times New Roman" w:cs="Times New Roman"/>
          <w:bCs/>
          <w:color w:val="000000" w:themeColor="text1"/>
          <w:kern w:val="0"/>
          <w:sz w:val="24"/>
          <w:szCs w:val="24"/>
        </w:rPr>
        <w:t>ERAS</w:t>
      </w:r>
      <w:r>
        <w:rPr>
          <w:rFonts w:ascii="Times New Roman" w:eastAsia="宋体" w:hAnsi="Times New Roman" w:cs="Times New Roman"/>
          <w:bCs/>
          <w:color w:val="000000" w:themeColor="text1"/>
          <w:kern w:val="0"/>
          <w:sz w:val="24"/>
          <w:szCs w:val="24"/>
        </w:rPr>
        <w:t>、肿瘤和康复（孕妇儿童营养进修，联系华西附二院</w:t>
      </w:r>
      <w:r>
        <w:rPr>
          <w:rFonts w:ascii="Times New Roman" w:eastAsia="宋体" w:hAnsi="Times New Roman" w:cs="Times New Roman" w:hint="eastAsia"/>
          <w:bCs/>
          <w:color w:val="000000" w:themeColor="text1"/>
          <w:kern w:val="0"/>
          <w:sz w:val="24"/>
          <w:szCs w:val="24"/>
        </w:rPr>
        <w:t>临床</w:t>
      </w:r>
      <w:r>
        <w:rPr>
          <w:rFonts w:ascii="Times New Roman" w:eastAsia="宋体" w:hAnsi="Times New Roman" w:cs="Times New Roman"/>
          <w:bCs/>
          <w:color w:val="000000" w:themeColor="text1"/>
          <w:kern w:val="0"/>
          <w:sz w:val="24"/>
          <w:szCs w:val="24"/>
        </w:rPr>
        <w:t>营养科）。按照医院营养行动计划（</w:t>
      </w:r>
      <w:r>
        <w:rPr>
          <w:rFonts w:ascii="Times New Roman" w:eastAsia="宋体" w:hAnsi="Times New Roman" w:cs="Times New Roman"/>
          <w:bCs/>
          <w:color w:val="000000" w:themeColor="text1"/>
          <w:kern w:val="0"/>
          <w:sz w:val="24"/>
          <w:szCs w:val="24"/>
        </w:rPr>
        <w:t>NRASA</w:t>
      </w:r>
      <w:r>
        <w:rPr>
          <w:rFonts w:ascii="Times New Roman" w:eastAsia="宋体" w:hAnsi="Times New Roman" w:cs="Times New Roman"/>
          <w:bCs/>
          <w:color w:val="000000" w:themeColor="text1"/>
          <w:kern w:val="0"/>
          <w:sz w:val="24"/>
          <w:szCs w:val="24"/>
        </w:rPr>
        <w:t>）进行营养诊疗（外科将</w:t>
      </w:r>
      <w:r>
        <w:rPr>
          <w:rFonts w:ascii="Times New Roman" w:eastAsia="宋体" w:hAnsi="Times New Roman" w:cs="Times New Roman"/>
          <w:bCs/>
          <w:color w:val="000000" w:themeColor="text1"/>
          <w:kern w:val="0"/>
          <w:sz w:val="24"/>
          <w:szCs w:val="24"/>
        </w:rPr>
        <w:t>ERAS</w:t>
      </w:r>
      <w:r>
        <w:rPr>
          <w:rFonts w:ascii="Times New Roman" w:eastAsia="宋体" w:hAnsi="Times New Roman" w:cs="Times New Roman"/>
          <w:bCs/>
          <w:color w:val="000000" w:themeColor="text1"/>
          <w:kern w:val="0"/>
          <w:sz w:val="24"/>
          <w:szCs w:val="24"/>
        </w:rPr>
        <w:t>营养管理路径融入</w:t>
      </w:r>
      <w:r>
        <w:rPr>
          <w:rFonts w:ascii="Times New Roman" w:eastAsia="宋体" w:hAnsi="Times New Roman" w:cs="Times New Roman"/>
          <w:bCs/>
          <w:color w:val="000000" w:themeColor="text1"/>
          <w:kern w:val="0"/>
          <w:sz w:val="24"/>
          <w:szCs w:val="24"/>
        </w:rPr>
        <w:t>NRASA</w:t>
      </w:r>
      <w:r>
        <w:rPr>
          <w:rFonts w:ascii="Times New Roman" w:eastAsia="宋体" w:hAnsi="Times New Roman" w:cs="Times New Roman"/>
          <w:bCs/>
          <w:color w:val="000000" w:themeColor="text1"/>
          <w:kern w:val="0"/>
          <w:sz w:val="24"/>
          <w:szCs w:val="24"/>
        </w:rPr>
        <w:t>临床营养诊疗路径），规范营养筛查、营养评估、营养诊断、营养干预全流程，出院后继续</w:t>
      </w:r>
      <w:r>
        <w:rPr>
          <w:rFonts w:ascii="Times New Roman" w:eastAsia="宋体" w:hAnsi="Times New Roman" w:cs="Times New Roman"/>
          <w:bCs/>
          <w:color w:val="000000" w:themeColor="text1"/>
          <w:kern w:val="0"/>
          <w:sz w:val="24"/>
          <w:szCs w:val="24"/>
        </w:rPr>
        <w:t>“H2H</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Hospital To Home</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家庭营养管理，全程致力于患者营养治疗以及疾病恢复。</w:t>
      </w:r>
      <w:r>
        <w:rPr>
          <w:rFonts w:ascii="Times New Roman" w:eastAsia="宋体" w:hAnsi="Times New Roman" w:cs="Times New Roman" w:hint="eastAsia"/>
          <w:bCs/>
          <w:color w:val="000000" w:themeColor="text1"/>
          <w:kern w:val="0"/>
          <w:sz w:val="24"/>
          <w:szCs w:val="24"/>
        </w:rPr>
        <w:t xml:space="preserve"> </w:t>
      </w:r>
    </w:p>
    <w:p w14:paraId="6675DA34" w14:textId="0F2ADBFE"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目前科室拥有职工</w:t>
      </w:r>
      <w:r>
        <w:rPr>
          <w:rFonts w:ascii="Times New Roman" w:eastAsia="宋体" w:hAnsi="Times New Roman" w:cs="Times New Roman"/>
          <w:bCs/>
          <w:color w:val="000000" w:themeColor="text1"/>
          <w:kern w:val="0"/>
          <w:sz w:val="24"/>
          <w:szCs w:val="24"/>
        </w:rPr>
        <w:t>150</w:t>
      </w:r>
      <w:r>
        <w:rPr>
          <w:rFonts w:ascii="Times New Roman" w:eastAsia="宋体" w:hAnsi="Times New Roman" w:cs="Times New Roman"/>
          <w:bCs/>
          <w:color w:val="000000" w:themeColor="text1"/>
          <w:kern w:val="0"/>
          <w:sz w:val="24"/>
          <w:szCs w:val="24"/>
        </w:rPr>
        <w:t>余人，其中营养医师</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技师</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护士</w:t>
      </w:r>
      <w:r>
        <w:rPr>
          <w:rFonts w:ascii="Times New Roman" w:eastAsia="宋体" w:hAnsi="Times New Roman" w:cs="Times New Roman"/>
          <w:bCs/>
          <w:color w:val="000000" w:themeColor="text1"/>
          <w:kern w:val="0"/>
          <w:sz w:val="24"/>
          <w:szCs w:val="24"/>
        </w:rPr>
        <w:t>50</w:t>
      </w:r>
      <w:r>
        <w:rPr>
          <w:rFonts w:ascii="Times New Roman" w:eastAsia="宋体" w:hAnsi="Times New Roman" w:cs="Times New Roman"/>
          <w:bCs/>
          <w:color w:val="000000" w:themeColor="text1"/>
          <w:kern w:val="0"/>
          <w:sz w:val="24"/>
          <w:szCs w:val="24"/>
        </w:rPr>
        <w:t>余人，硕士及以上学历超过</w:t>
      </w:r>
      <w:r>
        <w:rPr>
          <w:rFonts w:ascii="Times New Roman" w:eastAsia="宋体" w:hAnsi="Times New Roman" w:cs="Times New Roman"/>
          <w:bCs/>
          <w:color w:val="000000" w:themeColor="text1"/>
          <w:kern w:val="0"/>
          <w:sz w:val="24"/>
          <w:szCs w:val="24"/>
        </w:rPr>
        <w:t>80%</w:t>
      </w:r>
      <w:r>
        <w:rPr>
          <w:rFonts w:ascii="Times New Roman" w:eastAsia="宋体" w:hAnsi="Times New Roman" w:cs="Times New Roman"/>
          <w:bCs/>
          <w:color w:val="000000" w:themeColor="text1"/>
          <w:kern w:val="0"/>
          <w:sz w:val="24"/>
          <w:szCs w:val="24"/>
        </w:rPr>
        <w:t>，营养师床位比</w:t>
      </w: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119</w:t>
      </w:r>
      <w:r>
        <w:rPr>
          <w:rFonts w:ascii="Times New Roman" w:eastAsia="宋体" w:hAnsi="Times New Roman" w:cs="Times New Roman"/>
          <w:bCs/>
          <w:color w:val="000000" w:themeColor="text1"/>
          <w:kern w:val="0"/>
          <w:sz w:val="24"/>
          <w:szCs w:val="24"/>
        </w:rPr>
        <w:t>；十万级净化度的肠内营养配制中心</w:t>
      </w:r>
      <w:r>
        <w:rPr>
          <w:rFonts w:ascii="Times New Roman" w:eastAsia="宋体" w:hAnsi="Times New Roman" w:cs="Times New Roman"/>
          <w:bCs/>
          <w:color w:val="000000" w:themeColor="text1"/>
          <w:kern w:val="0"/>
          <w:sz w:val="24"/>
          <w:szCs w:val="24"/>
        </w:rPr>
        <w:t>3</w:t>
      </w:r>
      <w:r>
        <w:rPr>
          <w:rFonts w:ascii="Times New Roman" w:eastAsia="宋体" w:hAnsi="Times New Roman" w:cs="Times New Roman"/>
          <w:bCs/>
          <w:color w:val="000000" w:themeColor="text1"/>
          <w:kern w:val="0"/>
          <w:sz w:val="24"/>
          <w:szCs w:val="24"/>
        </w:rPr>
        <w:t>个，面积共</w:t>
      </w:r>
      <w:r>
        <w:rPr>
          <w:rFonts w:ascii="Times New Roman" w:eastAsia="宋体" w:hAnsi="Times New Roman" w:cs="Times New Roman"/>
          <w:bCs/>
          <w:color w:val="000000" w:themeColor="text1"/>
          <w:kern w:val="0"/>
          <w:sz w:val="24"/>
          <w:szCs w:val="24"/>
        </w:rPr>
        <w:t>185</w:t>
      </w:r>
      <w:r>
        <w:rPr>
          <w:rFonts w:ascii="Times New Roman" w:eastAsia="宋体" w:hAnsi="Times New Roman" w:cs="Times New Roman"/>
          <w:bCs/>
          <w:color w:val="000000" w:themeColor="text1"/>
          <w:kern w:val="0"/>
          <w:sz w:val="24"/>
          <w:szCs w:val="24"/>
        </w:rPr>
        <w:t>㎡；人体成分仪</w:t>
      </w:r>
      <w:r w:rsidRPr="007F3817">
        <w:rPr>
          <w:rFonts w:ascii="Times New Roman" w:eastAsia="宋体" w:hAnsi="Times New Roman" w:cs="Times New Roman"/>
          <w:bCs/>
          <w:color w:val="000000" w:themeColor="text1"/>
          <w:kern w:val="0"/>
          <w:sz w:val="24"/>
          <w:szCs w:val="24"/>
        </w:rPr>
        <w:t>7</w:t>
      </w:r>
      <w:r>
        <w:rPr>
          <w:rFonts w:ascii="Times New Roman" w:eastAsia="宋体" w:hAnsi="Times New Roman" w:cs="Times New Roman"/>
          <w:bCs/>
          <w:color w:val="000000" w:themeColor="text1"/>
          <w:kern w:val="0"/>
          <w:sz w:val="24"/>
          <w:szCs w:val="24"/>
        </w:rPr>
        <w:t>台和能量代谢车</w:t>
      </w:r>
      <w:r w:rsidRPr="007F3817">
        <w:rPr>
          <w:rFonts w:ascii="Times New Roman" w:eastAsia="宋体" w:hAnsi="Times New Roman" w:cs="Times New Roman"/>
          <w:bCs/>
          <w:color w:val="000000" w:themeColor="text1"/>
          <w:kern w:val="0"/>
          <w:sz w:val="24"/>
          <w:szCs w:val="24"/>
        </w:rPr>
        <w:t>2</w:t>
      </w:r>
      <w:r>
        <w:rPr>
          <w:rFonts w:ascii="Times New Roman" w:eastAsia="宋体" w:hAnsi="Times New Roman" w:cs="Times New Roman"/>
          <w:bCs/>
          <w:color w:val="000000" w:themeColor="text1"/>
          <w:kern w:val="0"/>
          <w:sz w:val="24"/>
          <w:szCs w:val="24"/>
        </w:rPr>
        <w:t>台；标准化的营养评价实验室以及治疗膳食实验厨房；自主研发的医疗膳食订配餐系统</w:t>
      </w:r>
      <w:r w:rsidR="00F01818" w:rsidRPr="007F3817">
        <w:rPr>
          <w:rFonts w:ascii="Times New Roman" w:eastAsia="宋体" w:hAnsi="Times New Roman" w:cs="Times New Roman" w:hint="eastAsia"/>
          <w:bCs/>
          <w:color w:val="000000" w:themeColor="text1"/>
          <w:kern w:val="0"/>
          <w:sz w:val="24"/>
          <w:szCs w:val="24"/>
        </w:rPr>
        <w:t>；</w:t>
      </w:r>
      <w:r w:rsidRPr="007F3817">
        <w:rPr>
          <w:rFonts w:ascii="Times New Roman" w:eastAsia="宋体" w:hAnsi="Times New Roman" w:cs="Times New Roman" w:hint="eastAsia"/>
          <w:bCs/>
          <w:color w:val="000000" w:themeColor="text1"/>
          <w:kern w:val="0"/>
          <w:sz w:val="24"/>
          <w:szCs w:val="24"/>
        </w:rPr>
        <w:t>自</w:t>
      </w:r>
      <w:r>
        <w:rPr>
          <w:rFonts w:ascii="Times New Roman" w:eastAsia="宋体" w:hAnsi="Times New Roman" w:cs="Times New Roman" w:hint="eastAsia"/>
          <w:bCs/>
          <w:color w:val="000000" w:themeColor="text1"/>
          <w:kern w:val="0"/>
          <w:sz w:val="24"/>
          <w:szCs w:val="24"/>
        </w:rPr>
        <w:t>主研发的</w:t>
      </w:r>
      <w:r>
        <w:rPr>
          <w:rFonts w:ascii="Times New Roman" w:eastAsia="宋体" w:hAnsi="Times New Roman" w:cs="Times New Roman"/>
          <w:bCs/>
          <w:color w:val="000000" w:themeColor="text1"/>
          <w:kern w:val="0"/>
          <w:sz w:val="24"/>
          <w:szCs w:val="24"/>
        </w:rPr>
        <w:t>营养</w:t>
      </w:r>
      <w:r>
        <w:rPr>
          <w:rFonts w:ascii="Times New Roman" w:eastAsia="宋体" w:hAnsi="Times New Roman" w:cs="Times New Roman" w:hint="eastAsia"/>
          <w:bCs/>
          <w:color w:val="000000" w:themeColor="text1"/>
          <w:kern w:val="0"/>
          <w:sz w:val="24"/>
          <w:szCs w:val="24"/>
        </w:rPr>
        <w:t>诊疗系统并</w:t>
      </w:r>
      <w:r>
        <w:rPr>
          <w:rFonts w:ascii="Times New Roman" w:eastAsia="宋体" w:hAnsi="Times New Roman" w:cs="Times New Roman"/>
          <w:bCs/>
          <w:color w:val="000000" w:themeColor="text1"/>
          <w:kern w:val="0"/>
          <w:sz w:val="24"/>
          <w:szCs w:val="24"/>
        </w:rPr>
        <w:t>入医院</w:t>
      </w:r>
      <w:r>
        <w:rPr>
          <w:rFonts w:ascii="Times New Roman" w:eastAsia="宋体" w:hAnsi="Times New Roman" w:cs="Times New Roman"/>
          <w:bCs/>
          <w:color w:val="000000" w:themeColor="text1"/>
          <w:kern w:val="0"/>
          <w:sz w:val="24"/>
          <w:szCs w:val="24"/>
        </w:rPr>
        <w:t>HIS</w:t>
      </w:r>
      <w:r>
        <w:rPr>
          <w:rFonts w:ascii="Times New Roman" w:eastAsia="宋体" w:hAnsi="Times New Roman" w:cs="Times New Roman"/>
          <w:bCs/>
          <w:color w:val="000000" w:themeColor="text1"/>
          <w:kern w:val="0"/>
          <w:sz w:val="24"/>
          <w:szCs w:val="24"/>
        </w:rPr>
        <w:t>系统，肠内营养医嘱、</w:t>
      </w:r>
      <w:r>
        <w:rPr>
          <w:rFonts w:ascii="Times New Roman" w:eastAsia="宋体" w:hAnsi="Times New Roman" w:cs="Times New Roman"/>
          <w:bCs/>
          <w:color w:val="000000" w:themeColor="text1"/>
          <w:kern w:val="0"/>
          <w:sz w:val="24"/>
          <w:szCs w:val="24"/>
        </w:rPr>
        <w:t>ERAS</w:t>
      </w:r>
      <w:r>
        <w:rPr>
          <w:rFonts w:ascii="Times New Roman" w:eastAsia="宋体" w:hAnsi="Times New Roman" w:cs="Times New Roman"/>
          <w:bCs/>
          <w:color w:val="000000" w:themeColor="text1"/>
          <w:kern w:val="0"/>
          <w:sz w:val="24"/>
          <w:szCs w:val="24"/>
        </w:rPr>
        <w:t>营养管理路径及</w:t>
      </w:r>
      <w:r>
        <w:rPr>
          <w:rFonts w:ascii="Times New Roman" w:eastAsia="宋体" w:hAnsi="Times New Roman" w:cs="Times New Roman"/>
          <w:bCs/>
          <w:color w:val="000000" w:themeColor="text1"/>
          <w:kern w:val="0"/>
          <w:sz w:val="24"/>
          <w:szCs w:val="24"/>
        </w:rPr>
        <w:t>NRASA</w:t>
      </w:r>
      <w:r>
        <w:rPr>
          <w:rFonts w:ascii="Times New Roman" w:eastAsia="宋体" w:hAnsi="Times New Roman" w:cs="Times New Roman"/>
          <w:bCs/>
          <w:color w:val="000000" w:themeColor="text1"/>
          <w:kern w:val="0"/>
          <w:sz w:val="24"/>
          <w:szCs w:val="24"/>
        </w:rPr>
        <w:t>行动计划完全电子化。</w:t>
      </w:r>
      <w:r>
        <w:rPr>
          <w:rFonts w:ascii="Times New Roman" w:eastAsia="宋体" w:hAnsi="Times New Roman" w:cs="Times New Roman" w:hint="eastAsia"/>
          <w:bCs/>
          <w:color w:val="000000" w:themeColor="text1"/>
          <w:kern w:val="0"/>
          <w:sz w:val="24"/>
          <w:szCs w:val="24"/>
        </w:rPr>
        <w:t>2</w:t>
      </w:r>
      <w:r>
        <w:rPr>
          <w:rFonts w:ascii="Times New Roman" w:eastAsia="宋体" w:hAnsi="Times New Roman" w:cs="Times New Roman"/>
          <w:bCs/>
          <w:color w:val="000000" w:themeColor="text1"/>
          <w:kern w:val="0"/>
          <w:sz w:val="24"/>
          <w:szCs w:val="24"/>
        </w:rPr>
        <w:t>021</w:t>
      </w:r>
      <w:r>
        <w:rPr>
          <w:rFonts w:ascii="Times New Roman" w:eastAsia="宋体" w:hAnsi="Times New Roman" w:cs="Times New Roman"/>
          <w:bCs/>
          <w:color w:val="000000" w:themeColor="text1"/>
          <w:kern w:val="0"/>
          <w:sz w:val="24"/>
          <w:szCs w:val="24"/>
        </w:rPr>
        <w:t>年营养诊查</w:t>
      </w:r>
      <w:r>
        <w:rPr>
          <w:rFonts w:ascii="Times New Roman" w:eastAsia="宋体" w:hAnsi="Times New Roman" w:cs="Times New Roman"/>
          <w:bCs/>
          <w:color w:val="000000" w:themeColor="text1"/>
          <w:kern w:val="0"/>
          <w:sz w:val="24"/>
          <w:szCs w:val="24"/>
        </w:rPr>
        <w:t>3</w:t>
      </w:r>
      <w:r>
        <w:rPr>
          <w:rFonts w:ascii="Times New Roman" w:eastAsia="宋体" w:hAnsi="Times New Roman" w:cs="Times New Roman"/>
          <w:bCs/>
          <w:color w:val="000000" w:themeColor="text1"/>
          <w:kern w:val="0"/>
          <w:sz w:val="24"/>
          <w:szCs w:val="24"/>
        </w:rPr>
        <w:t>万余人次，会诊</w:t>
      </w:r>
      <w:r>
        <w:rPr>
          <w:rFonts w:ascii="Times New Roman" w:eastAsia="宋体" w:hAnsi="Times New Roman" w:cs="Times New Roman"/>
          <w:bCs/>
          <w:color w:val="000000" w:themeColor="text1"/>
          <w:kern w:val="0"/>
          <w:sz w:val="24"/>
          <w:szCs w:val="24"/>
        </w:rPr>
        <w:t>2</w:t>
      </w:r>
      <w:r>
        <w:rPr>
          <w:rFonts w:ascii="Times New Roman" w:eastAsia="宋体" w:hAnsi="Times New Roman" w:cs="Times New Roman"/>
          <w:bCs/>
          <w:color w:val="000000" w:themeColor="text1"/>
          <w:kern w:val="0"/>
          <w:sz w:val="24"/>
          <w:szCs w:val="24"/>
        </w:rPr>
        <w:t>万余人次，门诊</w:t>
      </w: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万余人次；给予肠内营养</w:t>
      </w:r>
      <w:r>
        <w:rPr>
          <w:rFonts w:ascii="Times New Roman" w:eastAsia="宋体" w:hAnsi="Times New Roman" w:cs="Times New Roman"/>
          <w:bCs/>
          <w:color w:val="000000" w:themeColor="text1"/>
          <w:kern w:val="0"/>
          <w:sz w:val="24"/>
          <w:szCs w:val="24"/>
        </w:rPr>
        <w:t>92</w:t>
      </w:r>
      <w:r>
        <w:rPr>
          <w:rFonts w:ascii="Times New Roman" w:eastAsia="宋体" w:hAnsi="Times New Roman" w:cs="Times New Roman"/>
          <w:bCs/>
          <w:color w:val="000000" w:themeColor="text1"/>
          <w:kern w:val="0"/>
          <w:sz w:val="24"/>
          <w:szCs w:val="24"/>
        </w:rPr>
        <w:t>万人次，肠外营养</w:t>
      </w:r>
      <w:r>
        <w:rPr>
          <w:rFonts w:ascii="Times New Roman" w:eastAsia="宋体" w:hAnsi="Times New Roman" w:cs="Times New Roman"/>
          <w:bCs/>
          <w:color w:val="000000" w:themeColor="text1"/>
          <w:kern w:val="0"/>
          <w:sz w:val="24"/>
          <w:szCs w:val="24"/>
        </w:rPr>
        <w:t>1610</w:t>
      </w:r>
      <w:r>
        <w:rPr>
          <w:rFonts w:ascii="Times New Roman" w:eastAsia="宋体" w:hAnsi="Times New Roman" w:cs="Times New Roman"/>
          <w:bCs/>
          <w:color w:val="000000" w:themeColor="text1"/>
          <w:kern w:val="0"/>
          <w:sz w:val="24"/>
          <w:szCs w:val="24"/>
        </w:rPr>
        <w:t>人次；提供医疗膳食</w:t>
      </w:r>
      <w:r>
        <w:rPr>
          <w:rFonts w:ascii="Times New Roman" w:eastAsia="宋体" w:hAnsi="Times New Roman" w:cs="Times New Roman"/>
          <w:bCs/>
          <w:color w:val="000000" w:themeColor="text1"/>
          <w:kern w:val="0"/>
          <w:sz w:val="24"/>
          <w:szCs w:val="24"/>
        </w:rPr>
        <w:t>724</w:t>
      </w:r>
      <w:r>
        <w:rPr>
          <w:rFonts w:ascii="Times New Roman" w:eastAsia="宋体" w:hAnsi="Times New Roman" w:cs="Times New Roman"/>
          <w:bCs/>
          <w:color w:val="000000" w:themeColor="text1"/>
          <w:kern w:val="0"/>
          <w:sz w:val="24"/>
          <w:szCs w:val="24"/>
        </w:rPr>
        <w:t>万餐次，慢性病（糖尿病、肾病、高血脂、高尿酸、肝病、高血压等）医疗膳食</w:t>
      </w: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种，治疗饮食（</w:t>
      </w:r>
      <w:r>
        <w:rPr>
          <w:rFonts w:ascii="Times New Roman" w:eastAsia="宋体" w:hAnsi="Times New Roman" w:cs="Times New Roman"/>
          <w:bCs/>
          <w:color w:val="000000" w:themeColor="text1"/>
          <w:kern w:val="0"/>
          <w:sz w:val="24"/>
          <w:szCs w:val="24"/>
        </w:rPr>
        <w:t>MCT</w:t>
      </w:r>
      <w:r>
        <w:rPr>
          <w:rFonts w:ascii="Times New Roman" w:eastAsia="宋体" w:hAnsi="Times New Roman" w:cs="Times New Roman"/>
          <w:bCs/>
          <w:color w:val="000000" w:themeColor="text1"/>
          <w:kern w:val="0"/>
          <w:sz w:val="24"/>
          <w:szCs w:val="24"/>
        </w:rPr>
        <w:t>饮食、高脂布丁、防血栓套餐、高营养密度点心、吞障饮食、减重饮食、特需饮食、肠道准备餐等）若干种，制定医疗膳食标准食谱（包括原料配比、制作流程与方法、营养成分分析）</w:t>
      </w:r>
      <w:r>
        <w:rPr>
          <w:rFonts w:ascii="Times New Roman" w:eastAsia="宋体" w:hAnsi="Times New Roman" w:cs="Times New Roman"/>
          <w:bCs/>
          <w:color w:val="000000" w:themeColor="text1"/>
          <w:kern w:val="0"/>
          <w:sz w:val="24"/>
          <w:szCs w:val="24"/>
        </w:rPr>
        <w:t>262</w:t>
      </w:r>
      <w:r>
        <w:rPr>
          <w:rFonts w:ascii="Times New Roman" w:eastAsia="宋体" w:hAnsi="Times New Roman" w:cs="Times New Roman"/>
          <w:bCs/>
          <w:color w:val="000000" w:themeColor="text1"/>
          <w:kern w:val="0"/>
          <w:sz w:val="24"/>
          <w:szCs w:val="24"/>
        </w:rPr>
        <w:t>种。</w:t>
      </w:r>
    </w:p>
    <w:p w14:paraId="5240DE4C" w14:textId="77777777" w:rsidR="00386CED" w:rsidRDefault="0003512A">
      <w:pPr>
        <w:spacing w:beforeLines="50" w:before="156" w:line="360" w:lineRule="auto"/>
        <w:ind w:firstLineChars="200" w:firstLine="482"/>
        <w:rPr>
          <w:rFonts w:ascii="Times New Roman" w:eastAsia="宋体" w:hAnsi="Times New Roman" w:cs="Times New Roman"/>
          <w:b/>
          <w:bCs/>
          <w:color w:val="000000" w:themeColor="text1"/>
          <w:kern w:val="0"/>
          <w:sz w:val="24"/>
          <w:szCs w:val="24"/>
        </w:rPr>
      </w:pPr>
      <w:r>
        <w:rPr>
          <w:rFonts w:ascii="Times New Roman" w:eastAsia="宋体" w:hAnsi="Times New Roman" w:cs="Times New Roman"/>
          <w:b/>
          <w:bCs/>
          <w:color w:val="000000" w:themeColor="text1"/>
          <w:kern w:val="0"/>
          <w:sz w:val="24"/>
          <w:szCs w:val="24"/>
        </w:rPr>
        <w:t>二、进修专业简介</w:t>
      </w:r>
    </w:p>
    <w:p w14:paraId="1D9CE88C"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、进修方向（亚专业及项目介绍）</w:t>
      </w:r>
    </w:p>
    <w:p w14:paraId="2791FBA8"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根据科室安排轮转学习</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共有</w:t>
      </w:r>
      <w:r>
        <w:rPr>
          <w:rFonts w:ascii="Times New Roman" w:eastAsia="宋体" w:hAnsi="Times New Roman" w:cs="Times New Roman"/>
          <w:bCs/>
          <w:color w:val="000000" w:themeColor="text1"/>
          <w:kern w:val="0"/>
          <w:sz w:val="24"/>
          <w:szCs w:val="24"/>
        </w:rPr>
        <w:t>8</w:t>
      </w:r>
      <w:r>
        <w:rPr>
          <w:rFonts w:ascii="Times New Roman" w:eastAsia="宋体" w:hAnsi="Times New Roman" w:cs="Times New Roman"/>
          <w:bCs/>
          <w:color w:val="000000" w:themeColor="text1"/>
          <w:kern w:val="0"/>
          <w:sz w:val="24"/>
          <w:szCs w:val="24"/>
        </w:rPr>
        <w:t>个亚专业方向及</w:t>
      </w:r>
      <w:r>
        <w:rPr>
          <w:rFonts w:ascii="Times New Roman" w:eastAsia="宋体" w:hAnsi="Times New Roman" w:cs="Times New Roman"/>
          <w:bCs/>
          <w:color w:val="000000" w:themeColor="text1"/>
          <w:kern w:val="0"/>
          <w:sz w:val="24"/>
          <w:szCs w:val="24"/>
        </w:rPr>
        <w:t>4</w:t>
      </w:r>
      <w:r>
        <w:rPr>
          <w:rFonts w:ascii="Times New Roman" w:eastAsia="宋体" w:hAnsi="Times New Roman" w:cs="Times New Roman"/>
          <w:bCs/>
          <w:color w:val="000000" w:themeColor="text1"/>
          <w:kern w:val="0"/>
          <w:sz w:val="24"/>
          <w:szCs w:val="24"/>
        </w:rPr>
        <w:t>个院区，专业涵盖老年、肾内、内分泌、消化、心理、重症急诊、外科</w:t>
      </w:r>
      <w:r>
        <w:rPr>
          <w:rFonts w:ascii="Times New Roman" w:eastAsia="宋体" w:hAnsi="Times New Roman" w:cs="Times New Roman"/>
          <w:bCs/>
          <w:color w:val="000000" w:themeColor="text1"/>
          <w:kern w:val="0"/>
          <w:sz w:val="24"/>
          <w:szCs w:val="24"/>
        </w:rPr>
        <w:t>ERAS</w:t>
      </w:r>
      <w:r>
        <w:rPr>
          <w:rFonts w:ascii="Times New Roman" w:eastAsia="宋体" w:hAnsi="Times New Roman" w:cs="Times New Roman"/>
          <w:bCs/>
          <w:color w:val="000000" w:themeColor="text1"/>
          <w:kern w:val="0"/>
          <w:sz w:val="24"/>
          <w:szCs w:val="24"/>
        </w:rPr>
        <w:t>、肿瘤和康复等，院区包括本院区、温江院区、</w:t>
      </w:r>
      <w:r>
        <w:rPr>
          <w:rFonts w:ascii="Times New Roman" w:eastAsia="宋体" w:hAnsi="Times New Roman" w:cs="Times New Roman" w:hint="eastAsia"/>
          <w:bCs/>
          <w:color w:val="000000" w:themeColor="text1"/>
          <w:kern w:val="0"/>
          <w:sz w:val="24"/>
          <w:szCs w:val="24"/>
        </w:rPr>
        <w:t>上锦院区、</w:t>
      </w:r>
      <w:r>
        <w:rPr>
          <w:rFonts w:ascii="Times New Roman" w:eastAsia="宋体" w:hAnsi="Times New Roman" w:cs="Times New Roman"/>
          <w:bCs/>
          <w:color w:val="000000" w:themeColor="text1"/>
          <w:kern w:val="0"/>
          <w:sz w:val="24"/>
          <w:szCs w:val="24"/>
        </w:rPr>
        <w:t>天府院区。</w:t>
      </w:r>
    </w:p>
    <w:p w14:paraId="267029BC"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2</w:t>
      </w:r>
      <w:r>
        <w:rPr>
          <w:rFonts w:ascii="Times New Roman" w:eastAsia="宋体" w:hAnsi="Times New Roman" w:cs="Times New Roman"/>
          <w:bCs/>
          <w:color w:val="000000" w:themeColor="text1"/>
          <w:kern w:val="0"/>
          <w:sz w:val="24"/>
          <w:szCs w:val="24"/>
        </w:rPr>
        <w:t>、招收时间及进修期限</w:t>
      </w:r>
    </w:p>
    <w:p w14:paraId="37FDD2A3"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每年两次招生，即春、秋季招生，进修期限为</w:t>
      </w: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个月、</w:t>
      </w: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年，招生时间一般</w:t>
      </w:r>
      <w:r>
        <w:rPr>
          <w:rFonts w:ascii="Times New Roman" w:eastAsia="宋体" w:hAnsi="Times New Roman" w:cs="Times New Roman"/>
          <w:bCs/>
          <w:color w:val="000000" w:themeColor="text1"/>
          <w:kern w:val="0"/>
          <w:sz w:val="24"/>
          <w:szCs w:val="24"/>
        </w:rPr>
        <w:lastRenderedPageBreak/>
        <w:t>定在入学前两个月，即</w:t>
      </w:r>
      <w:r>
        <w:rPr>
          <w:rFonts w:ascii="Times New Roman" w:eastAsia="宋体" w:hAnsi="Times New Roman" w:cs="Times New Roman"/>
          <w:bCs/>
          <w:color w:val="000000" w:themeColor="text1"/>
          <w:kern w:val="0"/>
          <w:sz w:val="24"/>
          <w:szCs w:val="24"/>
        </w:rPr>
        <w:t>3</w:t>
      </w:r>
      <w:r>
        <w:rPr>
          <w:rFonts w:ascii="Times New Roman" w:eastAsia="宋体" w:hAnsi="Times New Roman" w:cs="Times New Roman"/>
          <w:bCs/>
          <w:color w:val="000000" w:themeColor="text1"/>
          <w:kern w:val="0"/>
          <w:sz w:val="24"/>
          <w:szCs w:val="24"/>
        </w:rPr>
        <w:t>月初入学者，</w:t>
      </w: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月份录取，</w:t>
      </w:r>
      <w:r>
        <w:rPr>
          <w:rFonts w:ascii="Times New Roman" w:eastAsia="宋体" w:hAnsi="Times New Roman" w:cs="Times New Roman"/>
          <w:bCs/>
          <w:color w:val="000000" w:themeColor="text1"/>
          <w:kern w:val="0"/>
          <w:sz w:val="24"/>
          <w:szCs w:val="24"/>
        </w:rPr>
        <w:t>12</w:t>
      </w:r>
      <w:r>
        <w:rPr>
          <w:rFonts w:ascii="Times New Roman" w:eastAsia="宋体" w:hAnsi="Times New Roman" w:cs="Times New Roman"/>
          <w:bCs/>
          <w:color w:val="000000" w:themeColor="text1"/>
          <w:kern w:val="0"/>
          <w:sz w:val="24"/>
          <w:szCs w:val="24"/>
        </w:rPr>
        <w:t>月份开始通知报名，或</w:t>
      </w:r>
      <w:r>
        <w:rPr>
          <w:rFonts w:ascii="Times New Roman" w:eastAsia="宋体" w:hAnsi="Times New Roman" w:cs="Times New Roman"/>
          <w:bCs/>
          <w:color w:val="000000" w:themeColor="text1"/>
          <w:kern w:val="0"/>
          <w:sz w:val="24"/>
          <w:szCs w:val="24"/>
        </w:rPr>
        <w:t>9</w:t>
      </w:r>
      <w:r>
        <w:rPr>
          <w:rFonts w:ascii="Times New Roman" w:eastAsia="宋体" w:hAnsi="Times New Roman" w:cs="Times New Roman"/>
          <w:bCs/>
          <w:color w:val="000000" w:themeColor="text1"/>
          <w:kern w:val="0"/>
          <w:sz w:val="24"/>
          <w:szCs w:val="24"/>
        </w:rPr>
        <w:t>月初入学者，</w:t>
      </w:r>
      <w:r>
        <w:rPr>
          <w:rFonts w:ascii="Times New Roman" w:eastAsia="宋体" w:hAnsi="Times New Roman" w:cs="Times New Roman"/>
          <w:bCs/>
          <w:color w:val="000000" w:themeColor="text1"/>
          <w:kern w:val="0"/>
          <w:sz w:val="24"/>
          <w:szCs w:val="24"/>
        </w:rPr>
        <w:t>7</w:t>
      </w:r>
      <w:r>
        <w:rPr>
          <w:rFonts w:ascii="Times New Roman" w:eastAsia="宋体" w:hAnsi="Times New Roman" w:cs="Times New Roman"/>
          <w:bCs/>
          <w:color w:val="000000" w:themeColor="text1"/>
          <w:kern w:val="0"/>
          <w:sz w:val="24"/>
          <w:szCs w:val="24"/>
        </w:rPr>
        <w:t>月录取，</w:t>
      </w: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月份开始通知报名。请关注</w:t>
      </w:r>
      <w:r>
        <w:rPr>
          <w:rFonts w:ascii="Times New Roman" w:eastAsia="宋体" w:hAnsi="Times New Roman" w:cs="Times New Roman"/>
          <w:bCs/>
          <w:color w:val="000000" w:themeColor="text1"/>
          <w:kern w:val="0"/>
          <w:sz w:val="24"/>
          <w:szCs w:val="24"/>
        </w:rPr>
        <w:t>cd120</w:t>
      </w:r>
      <w:r>
        <w:rPr>
          <w:rFonts w:ascii="Times New Roman" w:eastAsia="宋体" w:hAnsi="Times New Roman" w:cs="Times New Roman"/>
          <w:bCs/>
          <w:color w:val="000000" w:themeColor="text1"/>
          <w:kern w:val="0"/>
          <w:sz w:val="24"/>
          <w:szCs w:val="24"/>
        </w:rPr>
        <w:t>网上通知，注意每年每批次进修申请截止日期，申请进修专业仅限当年当次有效，过时不再进修补招。</w:t>
      </w:r>
    </w:p>
    <w:p w14:paraId="1F8679AE"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hint="eastAsia"/>
          <w:bCs/>
          <w:color w:val="000000" w:themeColor="text1"/>
          <w:kern w:val="0"/>
          <w:sz w:val="24"/>
          <w:szCs w:val="24"/>
        </w:rPr>
        <w:t>表</w:t>
      </w:r>
      <w:r>
        <w:rPr>
          <w:rFonts w:ascii="Times New Roman" w:eastAsia="宋体" w:hAnsi="Times New Roman" w:cs="Times New Roman" w:hint="eastAsia"/>
          <w:bCs/>
          <w:color w:val="000000" w:themeColor="text1"/>
          <w:kern w:val="0"/>
          <w:sz w:val="24"/>
          <w:szCs w:val="24"/>
        </w:rPr>
        <w:t xml:space="preserve"> </w:t>
      </w:r>
      <w:r>
        <w:rPr>
          <w:rFonts w:ascii="Times New Roman" w:eastAsia="宋体" w:hAnsi="Times New Roman" w:cs="Times New Roman"/>
          <w:bCs/>
          <w:color w:val="000000" w:themeColor="text1"/>
          <w:kern w:val="0"/>
          <w:sz w:val="24"/>
          <w:szCs w:val="24"/>
        </w:rPr>
        <w:t>临床营养</w:t>
      </w:r>
      <w:r>
        <w:rPr>
          <w:rFonts w:ascii="Times New Roman" w:eastAsia="宋体" w:hAnsi="Times New Roman" w:cs="Times New Roman" w:hint="eastAsia"/>
          <w:bCs/>
          <w:color w:val="000000" w:themeColor="text1"/>
          <w:kern w:val="0"/>
          <w:sz w:val="24"/>
          <w:szCs w:val="24"/>
        </w:rPr>
        <w:t>科</w:t>
      </w:r>
      <w:r>
        <w:rPr>
          <w:rFonts w:ascii="Times New Roman" w:eastAsia="宋体" w:hAnsi="Times New Roman" w:cs="Times New Roman"/>
          <w:bCs/>
          <w:color w:val="000000" w:themeColor="text1"/>
          <w:kern w:val="0"/>
          <w:sz w:val="24"/>
          <w:szCs w:val="24"/>
        </w:rPr>
        <w:t>进修安排表</w:t>
      </w:r>
    </w:p>
    <w:tbl>
      <w:tblPr>
        <w:tblStyle w:val="aa"/>
        <w:tblW w:w="0" w:type="auto"/>
        <w:tblLook w:val="04A0" w:firstRow="1" w:lastRow="0" w:firstColumn="1" w:lastColumn="0" w:noHBand="0" w:noVBand="1"/>
      </w:tblPr>
      <w:tblGrid>
        <w:gridCol w:w="2765"/>
        <w:gridCol w:w="2765"/>
        <w:gridCol w:w="2766"/>
      </w:tblGrid>
      <w:tr w:rsidR="00386CED" w14:paraId="6646E200" w14:textId="77777777">
        <w:tc>
          <w:tcPr>
            <w:tcW w:w="2765" w:type="dxa"/>
          </w:tcPr>
          <w:p w14:paraId="04F6C01D"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进修技能</w:t>
            </w:r>
          </w:p>
        </w:tc>
        <w:tc>
          <w:tcPr>
            <w:tcW w:w="2765" w:type="dxa"/>
          </w:tcPr>
          <w:p w14:paraId="0934B8FC"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进修期限</w:t>
            </w:r>
          </w:p>
        </w:tc>
        <w:tc>
          <w:tcPr>
            <w:tcW w:w="2766" w:type="dxa"/>
          </w:tcPr>
          <w:p w14:paraId="46A9419C"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每一年度招录人数</w:t>
            </w:r>
          </w:p>
        </w:tc>
      </w:tr>
      <w:tr w:rsidR="00386CED" w14:paraId="3AB5BD4F" w14:textId="77777777">
        <w:tc>
          <w:tcPr>
            <w:tcW w:w="2765" w:type="dxa"/>
          </w:tcPr>
          <w:p w14:paraId="4858FC28" w14:textId="77777777" w:rsidR="00386CED" w:rsidRDefault="0003512A">
            <w:pPr>
              <w:spacing w:line="360" w:lineRule="auto"/>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管理技能</w:t>
            </w:r>
          </w:p>
        </w:tc>
        <w:tc>
          <w:tcPr>
            <w:tcW w:w="2765" w:type="dxa"/>
            <w:vAlign w:val="center"/>
          </w:tcPr>
          <w:p w14:paraId="18CE626D"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个月</w:t>
            </w:r>
          </w:p>
        </w:tc>
        <w:tc>
          <w:tcPr>
            <w:tcW w:w="2766" w:type="dxa"/>
            <w:vMerge w:val="restart"/>
            <w:vAlign w:val="center"/>
          </w:tcPr>
          <w:p w14:paraId="40A2A58C"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20~30</w:t>
            </w:r>
            <w:r>
              <w:rPr>
                <w:rFonts w:ascii="Times New Roman" w:eastAsia="宋体" w:hAnsi="Times New Roman" w:cs="Times New Roman"/>
                <w:bCs/>
                <w:color w:val="000000" w:themeColor="text1"/>
                <w:kern w:val="0"/>
                <w:sz w:val="24"/>
                <w:szCs w:val="24"/>
              </w:rPr>
              <w:t>个人</w:t>
            </w:r>
          </w:p>
        </w:tc>
      </w:tr>
      <w:tr w:rsidR="00386CED" w14:paraId="22C78182" w14:textId="77777777">
        <w:tc>
          <w:tcPr>
            <w:tcW w:w="2765" w:type="dxa"/>
          </w:tcPr>
          <w:p w14:paraId="692C442E" w14:textId="77777777" w:rsidR="00386CED" w:rsidRDefault="0003512A">
            <w:pPr>
              <w:spacing w:line="360" w:lineRule="auto"/>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肠内营养</w:t>
            </w:r>
            <w:r>
              <w:rPr>
                <w:rFonts w:ascii="Times New Roman" w:eastAsia="宋体" w:hAnsi="Times New Roman" w:cs="Times New Roman" w:hint="eastAsia"/>
                <w:bCs/>
                <w:color w:val="000000" w:themeColor="text1"/>
                <w:kern w:val="0"/>
                <w:sz w:val="24"/>
                <w:szCs w:val="24"/>
              </w:rPr>
              <w:t>配制</w:t>
            </w:r>
            <w:r>
              <w:rPr>
                <w:rFonts w:ascii="Times New Roman" w:eastAsia="宋体" w:hAnsi="Times New Roman" w:cs="Times New Roman"/>
                <w:bCs/>
                <w:color w:val="000000" w:themeColor="text1"/>
                <w:kern w:val="0"/>
                <w:sz w:val="24"/>
                <w:szCs w:val="24"/>
              </w:rPr>
              <w:t>技能</w:t>
            </w:r>
          </w:p>
        </w:tc>
        <w:tc>
          <w:tcPr>
            <w:tcW w:w="2765" w:type="dxa"/>
            <w:vAlign w:val="center"/>
          </w:tcPr>
          <w:p w14:paraId="624099A9"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个月</w:t>
            </w:r>
          </w:p>
        </w:tc>
        <w:tc>
          <w:tcPr>
            <w:tcW w:w="2766" w:type="dxa"/>
            <w:vMerge/>
          </w:tcPr>
          <w:p w14:paraId="6353D962" w14:textId="77777777" w:rsidR="00386CED" w:rsidRDefault="00386CED">
            <w:pPr>
              <w:spacing w:line="360" w:lineRule="auto"/>
              <w:jc w:val="center"/>
              <w:rPr>
                <w:rFonts w:ascii="Times New Roman" w:eastAsia="宋体" w:hAnsi="Times New Roman" w:cs="Times New Roman"/>
                <w:bCs/>
                <w:color w:val="000000" w:themeColor="text1"/>
                <w:kern w:val="0"/>
                <w:sz w:val="24"/>
                <w:szCs w:val="24"/>
              </w:rPr>
            </w:pPr>
          </w:p>
        </w:tc>
      </w:tr>
      <w:tr w:rsidR="00386CED" w14:paraId="78C198A3" w14:textId="77777777">
        <w:tc>
          <w:tcPr>
            <w:tcW w:w="2765" w:type="dxa"/>
          </w:tcPr>
          <w:p w14:paraId="5AC02A32" w14:textId="77777777" w:rsidR="00386CED" w:rsidRDefault="0003512A">
            <w:pPr>
              <w:spacing w:line="360" w:lineRule="auto"/>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营养代谢检测</w:t>
            </w:r>
          </w:p>
        </w:tc>
        <w:tc>
          <w:tcPr>
            <w:tcW w:w="2765" w:type="dxa"/>
            <w:vAlign w:val="center"/>
          </w:tcPr>
          <w:p w14:paraId="191FB56E"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6</w:t>
            </w:r>
            <w:r>
              <w:rPr>
                <w:rFonts w:ascii="Times New Roman" w:eastAsia="宋体" w:hAnsi="Times New Roman" w:cs="Times New Roman"/>
                <w:bCs/>
                <w:color w:val="000000" w:themeColor="text1"/>
                <w:kern w:val="0"/>
                <w:sz w:val="24"/>
                <w:szCs w:val="24"/>
              </w:rPr>
              <w:t>个月</w:t>
            </w:r>
          </w:p>
        </w:tc>
        <w:tc>
          <w:tcPr>
            <w:tcW w:w="2766" w:type="dxa"/>
            <w:vMerge/>
          </w:tcPr>
          <w:p w14:paraId="707FFAB3" w14:textId="77777777" w:rsidR="00386CED" w:rsidRDefault="00386CED">
            <w:pPr>
              <w:spacing w:line="360" w:lineRule="auto"/>
              <w:jc w:val="center"/>
              <w:rPr>
                <w:rFonts w:ascii="Times New Roman" w:eastAsia="宋体" w:hAnsi="Times New Roman" w:cs="Times New Roman"/>
                <w:bCs/>
                <w:color w:val="000000" w:themeColor="text1"/>
                <w:kern w:val="0"/>
                <w:sz w:val="24"/>
                <w:szCs w:val="24"/>
              </w:rPr>
            </w:pPr>
          </w:p>
        </w:tc>
      </w:tr>
      <w:tr w:rsidR="00386CED" w14:paraId="04CC54F9" w14:textId="77777777">
        <w:tc>
          <w:tcPr>
            <w:tcW w:w="2765" w:type="dxa"/>
          </w:tcPr>
          <w:p w14:paraId="3609AFE8" w14:textId="77777777" w:rsidR="00386CED" w:rsidRDefault="0003512A">
            <w:pPr>
              <w:spacing w:line="360" w:lineRule="auto"/>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临床技能</w:t>
            </w:r>
          </w:p>
        </w:tc>
        <w:tc>
          <w:tcPr>
            <w:tcW w:w="2765" w:type="dxa"/>
            <w:vAlign w:val="center"/>
          </w:tcPr>
          <w:p w14:paraId="2CAE3984"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6~12</w:t>
            </w:r>
            <w:r>
              <w:rPr>
                <w:rFonts w:ascii="Times New Roman" w:eastAsia="宋体" w:hAnsi="Times New Roman" w:cs="Times New Roman"/>
                <w:bCs/>
                <w:color w:val="000000" w:themeColor="text1"/>
                <w:kern w:val="0"/>
                <w:sz w:val="24"/>
                <w:szCs w:val="24"/>
              </w:rPr>
              <w:t>个月</w:t>
            </w:r>
          </w:p>
        </w:tc>
        <w:tc>
          <w:tcPr>
            <w:tcW w:w="2766" w:type="dxa"/>
            <w:vMerge/>
          </w:tcPr>
          <w:p w14:paraId="32E13573" w14:textId="77777777" w:rsidR="00386CED" w:rsidRDefault="00386CED">
            <w:pPr>
              <w:spacing w:line="360" w:lineRule="auto"/>
              <w:jc w:val="center"/>
              <w:rPr>
                <w:rFonts w:ascii="Times New Roman" w:eastAsia="宋体" w:hAnsi="Times New Roman" w:cs="Times New Roman"/>
                <w:bCs/>
                <w:color w:val="000000" w:themeColor="text1"/>
                <w:kern w:val="0"/>
                <w:sz w:val="24"/>
                <w:szCs w:val="24"/>
              </w:rPr>
            </w:pPr>
          </w:p>
        </w:tc>
      </w:tr>
      <w:tr w:rsidR="00386CED" w14:paraId="22EE1593" w14:textId="77777777">
        <w:tc>
          <w:tcPr>
            <w:tcW w:w="2765" w:type="dxa"/>
          </w:tcPr>
          <w:p w14:paraId="2DE47FEB" w14:textId="77777777" w:rsidR="00386CED" w:rsidRDefault="0003512A">
            <w:pPr>
              <w:spacing w:line="360" w:lineRule="auto"/>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知识传播讲座技能</w:t>
            </w:r>
          </w:p>
        </w:tc>
        <w:tc>
          <w:tcPr>
            <w:tcW w:w="2765" w:type="dxa"/>
            <w:vAlign w:val="center"/>
          </w:tcPr>
          <w:p w14:paraId="320C1B56" w14:textId="77777777" w:rsidR="00386CED" w:rsidRDefault="0003512A">
            <w:pPr>
              <w:spacing w:line="360" w:lineRule="auto"/>
              <w:jc w:val="center"/>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6~12</w:t>
            </w:r>
            <w:r>
              <w:rPr>
                <w:rFonts w:ascii="Times New Roman" w:eastAsia="宋体" w:hAnsi="Times New Roman" w:cs="Times New Roman"/>
                <w:bCs/>
                <w:color w:val="000000" w:themeColor="text1"/>
                <w:kern w:val="0"/>
                <w:sz w:val="24"/>
                <w:szCs w:val="24"/>
              </w:rPr>
              <w:t>个月</w:t>
            </w:r>
          </w:p>
        </w:tc>
        <w:tc>
          <w:tcPr>
            <w:tcW w:w="2766" w:type="dxa"/>
            <w:vMerge/>
          </w:tcPr>
          <w:p w14:paraId="1581783A" w14:textId="77777777" w:rsidR="00386CED" w:rsidRDefault="00386CED">
            <w:pPr>
              <w:spacing w:line="360" w:lineRule="auto"/>
              <w:jc w:val="center"/>
              <w:rPr>
                <w:rFonts w:ascii="Times New Roman" w:eastAsia="宋体" w:hAnsi="Times New Roman" w:cs="Times New Roman"/>
                <w:bCs/>
                <w:color w:val="000000" w:themeColor="text1"/>
                <w:kern w:val="0"/>
                <w:sz w:val="24"/>
                <w:szCs w:val="24"/>
              </w:rPr>
            </w:pPr>
          </w:p>
        </w:tc>
      </w:tr>
    </w:tbl>
    <w:p w14:paraId="22BE6D57" w14:textId="77777777" w:rsidR="00386CED" w:rsidRDefault="0003512A">
      <w:pPr>
        <w:spacing w:beforeLines="50" w:before="156" w:line="360" w:lineRule="auto"/>
        <w:ind w:firstLineChars="200" w:firstLine="482"/>
        <w:rPr>
          <w:rFonts w:ascii="Times New Roman" w:eastAsia="宋体" w:hAnsi="Times New Roman" w:cs="Times New Roman"/>
          <w:b/>
          <w:bCs/>
          <w:color w:val="000000" w:themeColor="text1"/>
          <w:kern w:val="0"/>
          <w:sz w:val="24"/>
          <w:szCs w:val="24"/>
        </w:rPr>
      </w:pPr>
      <w:r>
        <w:rPr>
          <w:rFonts w:ascii="Times New Roman" w:eastAsia="宋体" w:hAnsi="Times New Roman" w:cs="Times New Roman"/>
          <w:b/>
          <w:bCs/>
          <w:color w:val="000000" w:themeColor="text1"/>
          <w:kern w:val="0"/>
          <w:sz w:val="24"/>
          <w:szCs w:val="24"/>
        </w:rPr>
        <w:t>三、培养方案</w:t>
      </w:r>
    </w:p>
    <w:p w14:paraId="7E755A46"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、学习内容</w:t>
      </w:r>
    </w:p>
    <w:p w14:paraId="77152E0E"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1</w:t>
      </w:r>
      <w:r>
        <w:rPr>
          <w:rFonts w:ascii="Times New Roman" w:eastAsia="宋体" w:hAnsi="Times New Roman" w:cs="Times New Roman"/>
          <w:bCs/>
          <w:color w:val="000000" w:themeColor="text1"/>
          <w:kern w:val="0"/>
          <w:sz w:val="24"/>
          <w:szCs w:val="24"/>
        </w:rPr>
        <w:t>）掌握营养诊疗流程</w:t>
      </w:r>
    </w:p>
    <w:p w14:paraId="0294CE65" w14:textId="33BF634B"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营养风险筛查</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营养评估</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营养治疗方案</w:t>
      </w:r>
      <w:r w:rsidR="007F3817">
        <w:rPr>
          <w:rFonts w:ascii="Times New Roman" w:eastAsia="宋体" w:hAnsi="Times New Roman" w:cs="Times New Roman" w:hint="eastAsia"/>
          <w:bCs/>
          <w:color w:val="000000" w:themeColor="text1"/>
          <w:kern w:val="0"/>
          <w:sz w:val="24"/>
          <w:szCs w:val="24"/>
        </w:rPr>
        <w:t>制定</w:t>
      </w:r>
      <w:r>
        <w:rPr>
          <w:rFonts w:ascii="Times New Roman" w:eastAsia="宋体" w:hAnsi="Times New Roman" w:cs="Times New Roman"/>
          <w:bCs/>
          <w:color w:val="000000" w:themeColor="text1"/>
          <w:kern w:val="0"/>
          <w:sz w:val="24"/>
          <w:szCs w:val="24"/>
        </w:rPr>
        <w:t>（饮食指导、口服营养补充、管喂肠内营养、肠外营养等）</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营养效果干预评价</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营养随访。</w:t>
      </w:r>
    </w:p>
    <w:p w14:paraId="21BE9D2F"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2</w:t>
      </w:r>
      <w:r>
        <w:rPr>
          <w:rFonts w:ascii="Times New Roman" w:eastAsia="宋体" w:hAnsi="Times New Roman" w:cs="Times New Roman"/>
          <w:bCs/>
          <w:color w:val="000000" w:themeColor="text1"/>
          <w:kern w:val="0"/>
          <w:sz w:val="24"/>
          <w:szCs w:val="24"/>
        </w:rPr>
        <w:t>）提升专业技能</w:t>
      </w:r>
    </w:p>
    <w:p w14:paraId="28A0D92A"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每周一次以上疑难重症病例讨论、实际工作经验与体会分享、营养前沿知识交流等。</w:t>
      </w:r>
    </w:p>
    <w:p w14:paraId="3DB7D682"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3</w:t>
      </w:r>
      <w:r>
        <w:rPr>
          <w:rFonts w:ascii="Times New Roman" w:eastAsia="宋体" w:hAnsi="Times New Roman" w:cs="Times New Roman"/>
          <w:bCs/>
          <w:color w:val="000000" w:themeColor="text1"/>
          <w:kern w:val="0"/>
          <w:sz w:val="24"/>
          <w:szCs w:val="24"/>
        </w:rPr>
        <w:t>）管理技能</w:t>
      </w:r>
    </w:p>
    <w:p w14:paraId="50AD002F"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Calibri" w:eastAsia="Calibri" w:hAnsi="Calibri" w:cs="Calibri"/>
          <w:bCs/>
          <w:color w:val="000000" w:themeColor="text1"/>
          <w:kern w:val="0"/>
          <w:sz w:val="24"/>
          <w:szCs w:val="24"/>
        </w:rPr>
        <w:t>①</w:t>
      </w:r>
      <w:r>
        <w:rPr>
          <w:rFonts w:ascii="Times New Roman" w:eastAsia="宋体" w:hAnsi="Times New Roman" w:cs="Times New Roman"/>
          <w:bCs/>
          <w:color w:val="000000" w:themeColor="text1"/>
          <w:kern w:val="0"/>
          <w:sz w:val="24"/>
          <w:szCs w:val="24"/>
        </w:rPr>
        <w:t>科室建设管理，熟悉</w:t>
      </w:r>
      <w:r>
        <w:rPr>
          <w:rFonts w:ascii="Times New Roman" w:eastAsia="宋体" w:hAnsi="Times New Roman" w:cs="Times New Roman"/>
          <w:bCs/>
          <w:color w:val="000000" w:themeColor="text1"/>
          <w:kern w:val="0"/>
          <w:sz w:val="24"/>
          <w:szCs w:val="24"/>
        </w:rPr>
        <w:t>NRASA</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ERAS</w:t>
      </w: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H2H</w:t>
      </w:r>
      <w:r>
        <w:rPr>
          <w:rFonts w:ascii="Times New Roman" w:eastAsia="宋体" w:hAnsi="Times New Roman" w:cs="Times New Roman"/>
          <w:bCs/>
          <w:color w:val="000000" w:themeColor="text1"/>
          <w:kern w:val="0"/>
          <w:sz w:val="24"/>
          <w:szCs w:val="24"/>
        </w:rPr>
        <w:t>等流程及实施</w:t>
      </w:r>
      <w:r>
        <w:rPr>
          <w:rFonts w:ascii="Times New Roman" w:eastAsia="宋体" w:hAnsi="Times New Roman" w:cs="Times New Roman" w:hint="eastAsia"/>
          <w:bCs/>
          <w:color w:val="000000" w:themeColor="text1"/>
          <w:kern w:val="0"/>
          <w:sz w:val="24"/>
          <w:szCs w:val="24"/>
        </w:rPr>
        <w:t>；</w:t>
      </w:r>
    </w:p>
    <w:p w14:paraId="17ECE571" w14:textId="0A55A068"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Calibri" w:eastAsia="Calibri" w:hAnsi="Calibri" w:cs="Calibri"/>
          <w:bCs/>
          <w:color w:val="000000" w:themeColor="text1"/>
          <w:kern w:val="0"/>
          <w:sz w:val="24"/>
          <w:szCs w:val="24"/>
        </w:rPr>
        <w:t>②</w:t>
      </w:r>
      <w:r>
        <w:rPr>
          <w:rFonts w:ascii="Times New Roman" w:eastAsia="宋体" w:hAnsi="Times New Roman" w:cs="Times New Roman"/>
          <w:bCs/>
          <w:color w:val="000000" w:themeColor="text1"/>
          <w:kern w:val="0"/>
          <w:sz w:val="24"/>
          <w:szCs w:val="24"/>
        </w:rPr>
        <w:t>开展医疗膳食、临床营养诊疗工作的流程</w:t>
      </w:r>
      <w:r>
        <w:rPr>
          <w:rFonts w:ascii="Times New Roman" w:eastAsia="宋体" w:hAnsi="Times New Roman" w:cs="Times New Roman" w:hint="eastAsia"/>
          <w:bCs/>
          <w:color w:val="000000" w:themeColor="text1"/>
          <w:kern w:val="0"/>
          <w:sz w:val="24"/>
          <w:szCs w:val="24"/>
        </w:rPr>
        <w:t>；</w:t>
      </w:r>
    </w:p>
    <w:p w14:paraId="762AD5C5"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Calibri" w:eastAsia="Calibri" w:hAnsi="Calibri" w:cs="Calibri"/>
          <w:bCs/>
          <w:color w:val="000000" w:themeColor="text1"/>
          <w:kern w:val="0"/>
          <w:sz w:val="24"/>
          <w:szCs w:val="24"/>
        </w:rPr>
        <w:t>③</w:t>
      </w:r>
      <w:r>
        <w:rPr>
          <w:rFonts w:ascii="Times New Roman" w:eastAsia="宋体" w:hAnsi="Times New Roman" w:cs="Times New Roman"/>
          <w:bCs/>
          <w:color w:val="000000" w:themeColor="text1"/>
          <w:kern w:val="0"/>
          <w:sz w:val="24"/>
          <w:szCs w:val="24"/>
        </w:rPr>
        <w:t>临床营养科室持续发展的新思路、新方向</w:t>
      </w:r>
      <w:r>
        <w:rPr>
          <w:rFonts w:ascii="Times New Roman" w:eastAsia="宋体" w:hAnsi="Times New Roman" w:cs="Times New Roman" w:hint="eastAsia"/>
          <w:bCs/>
          <w:color w:val="000000" w:themeColor="text1"/>
          <w:kern w:val="0"/>
          <w:sz w:val="24"/>
          <w:szCs w:val="24"/>
        </w:rPr>
        <w:t>；</w:t>
      </w:r>
    </w:p>
    <w:p w14:paraId="6457EFD5" w14:textId="11F76CDB"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Calibri" w:eastAsia="Calibri" w:hAnsi="Calibri" w:cs="Calibri"/>
          <w:bCs/>
          <w:color w:val="000000" w:themeColor="text1"/>
          <w:kern w:val="0"/>
          <w:sz w:val="24"/>
          <w:szCs w:val="24"/>
        </w:rPr>
        <w:t>④</w:t>
      </w:r>
      <w:r>
        <w:rPr>
          <w:rFonts w:ascii="Times New Roman" w:eastAsia="宋体" w:hAnsi="Times New Roman" w:cs="Times New Roman"/>
          <w:bCs/>
          <w:color w:val="000000" w:themeColor="text1"/>
          <w:kern w:val="0"/>
          <w:sz w:val="24"/>
          <w:szCs w:val="24"/>
        </w:rPr>
        <w:t>开展肠内营养制剂的配制流程、规范配送流程等</w:t>
      </w:r>
      <w:r>
        <w:rPr>
          <w:rFonts w:ascii="Times New Roman" w:eastAsia="宋体" w:hAnsi="Times New Roman" w:cs="Times New Roman" w:hint="eastAsia"/>
          <w:bCs/>
          <w:color w:val="000000" w:themeColor="text1"/>
          <w:kern w:val="0"/>
          <w:sz w:val="24"/>
          <w:szCs w:val="24"/>
        </w:rPr>
        <w:t>；</w:t>
      </w:r>
    </w:p>
    <w:p w14:paraId="1C98B598" w14:textId="5C17D470"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Calibri" w:eastAsia="Calibri" w:hAnsi="Calibri" w:cs="Calibri"/>
          <w:bCs/>
          <w:color w:val="000000" w:themeColor="text1"/>
          <w:kern w:val="0"/>
          <w:sz w:val="24"/>
          <w:szCs w:val="24"/>
        </w:rPr>
        <w:t>⑤</w:t>
      </w:r>
      <w:r>
        <w:rPr>
          <w:rFonts w:ascii="Times New Roman" w:eastAsia="宋体" w:hAnsi="Times New Roman" w:cs="Times New Roman"/>
          <w:bCs/>
          <w:color w:val="000000" w:themeColor="text1"/>
          <w:kern w:val="0"/>
          <w:sz w:val="24"/>
          <w:szCs w:val="24"/>
        </w:rPr>
        <w:t>与临床医生实行多学科合作与讨论</w:t>
      </w:r>
      <w:r>
        <w:rPr>
          <w:rFonts w:ascii="Times New Roman" w:eastAsia="宋体" w:hAnsi="Times New Roman" w:cs="Times New Roman" w:hint="eastAsia"/>
          <w:bCs/>
          <w:color w:val="000000" w:themeColor="text1"/>
          <w:kern w:val="0"/>
          <w:sz w:val="24"/>
          <w:szCs w:val="24"/>
        </w:rPr>
        <w:t>。</w:t>
      </w:r>
    </w:p>
    <w:p w14:paraId="297B3B52"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4</w:t>
      </w:r>
      <w:r>
        <w:rPr>
          <w:rFonts w:ascii="Times New Roman" w:eastAsia="宋体" w:hAnsi="Times New Roman" w:cs="Times New Roman"/>
          <w:bCs/>
          <w:color w:val="000000" w:themeColor="text1"/>
          <w:kern w:val="0"/>
          <w:sz w:val="24"/>
          <w:szCs w:val="24"/>
        </w:rPr>
        <w:t>）肠内营养配制技能</w:t>
      </w:r>
    </w:p>
    <w:p w14:paraId="779F8DFB"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熟悉肠内营养配制流程、肠内营养配制室建设、肠内营养配制技能、配制室硬件要求及质量控制。</w:t>
      </w:r>
    </w:p>
    <w:p w14:paraId="3F16C42E" w14:textId="77777777" w:rsidR="00386CED"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Pr>
          <w:rFonts w:ascii="Times New Roman" w:eastAsia="宋体" w:hAnsi="Times New Roman" w:cs="Times New Roman"/>
          <w:bCs/>
          <w:color w:val="000000" w:themeColor="text1"/>
          <w:kern w:val="0"/>
          <w:sz w:val="24"/>
          <w:szCs w:val="24"/>
        </w:rPr>
        <w:t>（</w:t>
      </w:r>
      <w:r>
        <w:rPr>
          <w:rFonts w:ascii="Times New Roman" w:eastAsia="宋体" w:hAnsi="Times New Roman" w:cs="Times New Roman"/>
          <w:bCs/>
          <w:color w:val="000000" w:themeColor="text1"/>
          <w:kern w:val="0"/>
          <w:sz w:val="24"/>
          <w:szCs w:val="24"/>
        </w:rPr>
        <w:t>5</w:t>
      </w:r>
      <w:r>
        <w:rPr>
          <w:rFonts w:ascii="Times New Roman" w:eastAsia="宋体" w:hAnsi="Times New Roman" w:cs="Times New Roman"/>
          <w:bCs/>
          <w:color w:val="000000" w:themeColor="text1"/>
          <w:kern w:val="0"/>
          <w:sz w:val="24"/>
          <w:szCs w:val="24"/>
        </w:rPr>
        <w:t>）营养代谢检测技能</w:t>
      </w:r>
    </w:p>
    <w:p w14:paraId="6770E510" w14:textId="193DC673" w:rsidR="00386CED" w:rsidRPr="007F3817" w:rsidRDefault="00484135">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hint="eastAsia"/>
          <w:bCs/>
          <w:color w:val="000000" w:themeColor="text1"/>
          <w:kern w:val="0"/>
          <w:sz w:val="24"/>
          <w:szCs w:val="24"/>
        </w:rPr>
        <w:lastRenderedPageBreak/>
        <w:t>熟练</w:t>
      </w:r>
      <w:r w:rsidR="0003512A" w:rsidRPr="007F3817">
        <w:rPr>
          <w:rFonts w:ascii="Times New Roman" w:eastAsia="宋体" w:hAnsi="Times New Roman" w:cs="Times New Roman"/>
          <w:bCs/>
          <w:color w:val="000000" w:themeColor="text1"/>
          <w:kern w:val="0"/>
          <w:sz w:val="24"/>
          <w:szCs w:val="24"/>
        </w:rPr>
        <w:t>运用人体成分分析仪和代谢车，准确评估</w:t>
      </w:r>
      <w:r w:rsidR="00CF241A" w:rsidRPr="007F3817">
        <w:rPr>
          <w:rFonts w:ascii="Times New Roman" w:eastAsia="宋体" w:hAnsi="Times New Roman" w:cs="Times New Roman" w:hint="eastAsia"/>
          <w:bCs/>
          <w:color w:val="000000" w:themeColor="text1"/>
          <w:kern w:val="0"/>
          <w:sz w:val="24"/>
          <w:szCs w:val="24"/>
        </w:rPr>
        <w:t>患者</w:t>
      </w:r>
      <w:r w:rsidR="0003512A" w:rsidRPr="007F3817">
        <w:rPr>
          <w:rFonts w:ascii="Times New Roman" w:eastAsia="宋体" w:hAnsi="Times New Roman" w:cs="Times New Roman"/>
          <w:bCs/>
          <w:color w:val="000000" w:themeColor="text1"/>
          <w:kern w:val="0"/>
          <w:sz w:val="24"/>
          <w:szCs w:val="24"/>
        </w:rPr>
        <w:t>营养状况</w:t>
      </w:r>
      <w:r w:rsidR="0003512A" w:rsidRPr="007F3817">
        <w:rPr>
          <w:rFonts w:ascii="Times New Roman" w:eastAsia="宋体" w:hAnsi="Times New Roman" w:cs="Times New Roman" w:hint="eastAsia"/>
          <w:bCs/>
          <w:color w:val="000000" w:themeColor="text1"/>
          <w:kern w:val="0"/>
          <w:sz w:val="24"/>
          <w:szCs w:val="24"/>
        </w:rPr>
        <w:t>。</w:t>
      </w:r>
    </w:p>
    <w:p w14:paraId="7110742C"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2</w:t>
      </w:r>
      <w:r w:rsidRPr="007F3817">
        <w:rPr>
          <w:rFonts w:ascii="Times New Roman" w:eastAsia="宋体" w:hAnsi="Times New Roman" w:cs="Times New Roman"/>
          <w:bCs/>
          <w:color w:val="000000" w:themeColor="text1"/>
          <w:kern w:val="0"/>
          <w:sz w:val="24"/>
          <w:szCs w:val="24"/>
        </w:rPr>
        <w:t>、带教方法</w:t>
      </w:r>
    </w:p>
    <w:p w14:paraId="1F45A244" w14:textId="00E53BA8"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1</w:t>
      </w:r>
      <w:r w:rsidRPr="007F3817">
        <w:rPr>
          <w:rFonts w:ascii="Times New Roman" w:eastAsia="宋体" w:hAnsi="Times New Roman" w:cs="Times New Roman"/>
          <w:bCs/>
          <w:color w:val="000000" w:themeColor="text1"/>
          <w:kern w:val="0"/>
          <w:sz w:val="24"/>
          <w:szCs w:val="24"/>
        </w:rPr>
        <w:t>）入科培训：入科时将进行入科工作培训、常见疾病营养治疗理论知识学习、医疗膳食</w:t>
      </w:r>
      <w:r w:rsidR="005027AA" w:rsidRPr="007F3817">
        <w:rPr>
          <w:rFonts w:ascii="Times New Roman" w:eastAsia="宋体" w:hAnsi="Times New Roman" w:cs="Times New Roman" w:hint="eastAsia"/>
          <w:bCs/>
          <w:color w:val="000000" w:themeColor="text1"/>
          <w:kern w:val="0"/>
          <w:sz w:val="24"/>
          <w:szCs w:val="24"/>
        </w:rPr>
        <w:t>配制</w:t>
      </w:r>
      <w:r w:rsidRPr="007F3817">
        <w:rPr>
          <w:rFonts w:ascii="Times New Roman" w:eastAsia="宋体" w:hAnsi="Times New Roman" w:cs="Times New Roman"/>
          <w:bCs/>
          <w:color w:val="000000" w:themeColor="text1"/>
          <w:kern w:val="0"/>
          <w:sz w:val="24"/>
          <w:szCs w:val="24"/>
        </w:rPr>
        <w:t>、营养代谢检测技能</w:t>
      </w:r>
      <w:r w:rsidR="005027AA" w:rsidRPr="007F3817">
        <w:rPr>
          <w:rFonts w:ascii="Times New Roman" w:eastAsia="宋体" w:hAnsi="Times New Roman" w:cs="Times New Roman" w:hint="eastAsia"/>
          <w:bCs/>
          <w:color w:val="000000" w:themeColor="text1"/>
          <w:kern w:val="0"/>
          <w:sz w:val="24"/>
          <w:szCs w:val="24"/>
        </w:rPr>
        <w:t>操作</w:t>
      </w:r>
      <w:r w:rsidRPr="007F3817">
        <w:rPr>
          <w:rFonts w:ascii="Times New Roman" w:eastAsia="宋体" w:hAnsi="Times New Roman" w:cs="Times New Roman"/>
          <w:bCs/>
          <w:color w:val="000000" w:themeColor="text1"/>
          <w:kern w:val="0"/>
          <w:sz w:val="24"/>
          <w:szCs w:val="24"/>
        </w:rPr>
        <w:t>、宣教技能等培训；</w:t>
      </w:r>
    </w:p>
    <w:p w14:paraId="4D6EBBEE"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2</w:t>
      </w:r>
      <w:r w:rsidRPr="007F3817">
        <w:rPr>
          <w:rFonts w:ascii="Times New Roman" w:eastAsia="宋体" w:hAnsi="Times New Roman" w:cs="Times New Roman"/>
          <w:bCs/>
          <w:color w:val="000000" w:themeColor="text1"/>
          <w:kern w:val="0"/>
          <w:sz w:val="24"/>
          <w:szCs w:val="24"/>
        </w:rPr>
        <w:t>）临床治疗组轮转：根据自己所选亚方向，在相应临床治疗组进行轮转，由学习逐渐过渡至实践；</w:t>
      </w:r>
    </w:p>
    <w:p w14:paraId="2C2C8044"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3</w:t>
      </w:r>
      <w:r w:rsidRPr="007F3817">
        <w:rPr>
          <w:rFonts w:ascii="Times New Roman" w:eastAsia="宋体" w:hAnsi="Times New Roman" w:cs="Times New Roman"/>
          <w:bCs/>
          <w:color w:val="000000" w:themeColor="text1"/>
          <w:kern w:val="0"/>
          <w:sz w:val="24"/>
          <w:szCs w:val="24"/>
        </w:rPr>
        <w:t>）临床查教学房：每两周进行</w:t>
      </w:r>
      <w:r w:rsidRPr="007F3817">
        <w:rPr>
          <w:rFonts w:ascii="Times New Roman" w:eastAsia="宋体" w:hAnsi="Times New Roman" w:cs="Times New Roman"/>
          <w:bCs/>
          <w:color w:val="000000" w:themeColor="text1"/>
          <w:kern w:val="0"/>
          <w:sz w:val="24"/>
          <w:szCs w:val="24"/>
        </w:rPr>
        <w:t>1</w:t>
      </w:r>
      <w:r w:rsidRPr="007F3817">
        <w:rPr>
          <w:rFonts w:ascii="Times New Roman" w:eastAsia="宋体" w:hAnsi="Times New Roman" w:cs="Times New Roman"/>
          <w:bCs/>
          <w:color w:val="000000" w:themeColor="text1"/>
          <w:kern w:val="0"/>
          <w:sz w:val="24"/>
          <w:szCs w:val="24"/>
        </w:rPr>
        <w:t>次教学查房；</w:t>
      </w:r>
    </w:p>
    <w:p w14:paraId="42416C45"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4</w:t>
      </w:r>
      <w:r w:rsidRPr="007F3817">
        <w:rPr>
          <w:rFonts w:ascii="Times New Roman" w:eastAsia="宋体" w:hAnsi="Times New Roman" w:cs="Times New Roman"/>
          <w:bCs/>
          <w:color w:val="000000" w:themeColor="text1"/>
          <w:kern w:val="0"/>
          <w:sz w:val="24"/>
          <w:szCs w:val="24"/>
        </w:rPr>
        <w:t>）病案讨论：每周</w:t>
      </w:r>
      <w:r w:rsidRPr="007F3817">
        <w:rPr>
          <w:rFonts w:ascii="Times New Roman" w:eastAsia="宋体" w:hAnsi="Times New Roman" w:cs="Times New Roman"/>
          <w:bCs/>
          <w:color w:val="000000" w:themeColor="text1"/>
          <w:kern w:val="0"/>
          <w:sz w:val="24"/>
          <w:szCs w:val="24"/>
        </w:rPr>
        <w:t>1</w:t>
      </w:r>
      <w:r w:rsidRPr="007F3817">
        <w:rPr>
          <w:rFonts w:ascii="Times New Roman" w:eastAsia="宋体" w:hAnsi="Times New Roman" w:cs="Times New Roman"/>
          <w:bCs/>
          <w:color w:val="000000" w:themeColor="text1"/>
          <w:kern w:val="0"/>
          <w:sz w:val="24"/>
          <w:szCs w:val="24"/>
        </w:rPr>
        <w:t>次全科疑难病案分析讨论，进修生选择在进修期间的有代表性病例进行病案分析和讨论；</w:t>
      </w:r>
    </w:p>
    <w:p w14:paraId="62E37C6A"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5</w:t>
      </w:r>
      <w:r w:rsidRPr="007F3817">
        <w:rPr>
          <w:rFonts w:ascii="Times New Roman" w:eastAsia="宋体" w:hAnsi="Times New Roman" w:cs="Times New Roman"/>
          <w:bCs/>
          <w:color w:val="000000" w:themeColor="text1"/>
          <w:kern w:val="0"/>
          <w:sz w:val="24"/>
          <w:szCs w:val="24"/>
        </w:rPr>
        <w:t>）临床小讲课：每周</w:t>
      </w:r>
      <w:r w:rsidRPr="007F3817">
        <w:rPr>
          <w:rFonts w:ascii="Times New Roman" w:eastAsia="宋体" w:hAnsi="Times New Roman" w:cs="Times New Roman"/>
          <w:bCs/>
          <w:color w:val="000000" w:themeColor="text1"/>
          <w:kern w:val="0"/>
          <w:sz w:val="24"/>
          <w:szCs w:val="24"/>
        </w:rPr>
        <w:t>1</w:t>
      </w:r>
      <w:r w:rsidRPr="007F3817">
        <w:rPr>
          <w:rFonts w:ascii="Times New Roman" w:eastAsia="宋体" w:hAnsi="Times New Roman" w:cs="Times New Roman"/>
          <w:bCs/>
          <w:color w:val="000000" w:themeColor="text1"/>
          <w:kern w:val="0"/>
          <w:sz w:val="24"/>
          <w:szCs w:val="24"/>
        </w:rPr>
        <w:t>次营养相关前沿知识分享；</w:t>
      </w:r>
    </w:p>
    <w:p w14:paraId="4C28D72F"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6</w:t>
      </w:r>
      <w:r w:rsidRPr="007F3817">
        <w:rPr>
          <w:rFonts w:ascii="Times New Roman" w:eastAsia="宋体" w:hAnsi="Times New Roman" w:cs="Times New Roman"/>
          <w:bCs/>
          <w:color w:val="000000" w:themeColor="text1"/>
          <w:kern w:val="0"/>
          <w:sz w:val="24"/>
          <w:szCs w:val="24"/>
        </w:rPr>
        <w:t>）门诊教学：观摩门诊老师门诊营养诊疗过程，学习处理门诊患者营养问题；</w:t>
      </w:r>
    </w:p>
    <w:p w14:paraId="55D3F665" w14:textId="71F2E39F"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7</w:t>
      </w:r>
      <w:r w:rsidRPr="007F3817">
        <w:rPr>
          <w:rFonts w:ascii="Times New Roman" w:eastAsia="宋体" w:hAnsi="Times New Roman" w:cs="Times New Roman"/>
          <w:bCs/>
          <w:color w:val="000000" w:themeColor="text1"/>
          <w:kern w:val="0"/>
          <w:sz w:val="24"/>
          <w:szCs w:val="24"/>
        </w:rPr>
        <w:t>）观摩实践：学习肠内营养配制技巧、营养代谢检测</w:t>
      </w:r>
      <w:r w:rsidR="00557152" w:rsidRPr="007F3817">
        <w:rPr>
          <w:rFonts w:ascii="Times New Roman" w:eastAsia="宋体" w:hAnsi="Times New Roman" w:cs="Times New Roman" w:hint="eastAsia"/>
          <w:bCs/>
          <w:color w:val="000000" w:themeColor="text1"/>
          <w:kern w:val="0"/>
          <w:sz w:val="24"/>
          <w:szCs w:val="24"/>
        </w:rPr>
        <w:t>操作技能</w:t>
      </w:r>
      <w:r w:rsidRPr="007F3817">
        <w:rPr>
          <w:rFonts w:ascii="Times New Roman" w:eastAsia="宋体" w:hAnsi="Times New Roman" w:cs="Times New Roman"/>
          <w:bCs/>
          <w:color w:val="000000" w:themeColor="text1"/>
          <w:kern w:val="0"/>
          <w:sz w:val="24"/>
          <w:szCs w:val="24"/>
        </w:rPr>
        <w:t>。</w:t>
      </w:r>
    </w:p>
    <w:p w14:paraId="3FA0761B"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hint="eastAsia"/>
          <w:bCs/>
          <w:color w:val="000000" w:themeColor="text1"/>
          <w:kern w:val="0"/>
          <w:sz w:val="24"/>
          <w:szCs w:val="24"/>
        </w:rPr>
        <w:t>3</w:t>
      </w:r>
      <w:r w:rsidRPr="007F3817">
        <w:rPr>
          <w:rFonts w:ascii="Times New Roman" w:eastAsia="宋体" w:hAnsi="Times New Roman" w:cs="Times New Roman"/>
          <w:bCs/>
          <w:color w:val="000000" w:themeColor="text1"/>
          <w:kern w:val="0"/>
          <w:sz w:val="24"/>
          <w:szCs w:val="24"/>
        </w:rPr>
        <w:t>、结业考核方式</w:t>
      </w:r>
    </w:p>
    <w:p w14:paraId="09DFB57D" w14:textId="0E132D4C"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各治疗组轮转出科时医疗组长将进行综合评分</w:t>
      </w:r>
      <w:r w:rsidR="00557152" w:rsidRPr="007F3817">
        <w:rPr>
          <w:rFonts w:ascii="Times New Roman" w:eastAsia="宋体" w:hAnsi="Times New Roman" w:cs="Times New Roman" w:hint="eastAsia"/>
          <w:bCs/>
          <w:color w:val="000000" w:themeColor="text1"/>
          <w:kern w:val="0"/>
          <w:sz w:val="24"/>
          <w:szCs w:val="24"/>
        </w:rPr>
        <w:t>，</w:t>
      </w:r>
      <w:r w:rsidRPr="007F3817">
        <w:rPr>
          <w:rFonts w:ascii="Times New Roman" w:eastAsia="宋体" w:hAnsi="Times New Roman" w:cs="Times New Roman"/>
          <w:bCs/>
          <w:color w:val="000000" w:themeColor="text1"/>
          <w:kern w:val="0"/>
          <w:sz w:val="24"/>
          <w:szCs w:val="24"/>
        </w:rPr>
        <w:t>并记录每月工作量、考勤为平时成绩，进修前期培训后及进修结束前将安排检测作为笔试考核成绩。进修考核总分数由平时成绩（占比</w:t>
      </w:r>
      <w:r w:rsidRPr="007F3817">
        <w:rPr>
          <w:rFonts w:ascii="Times New Roman" w:eastAsia="宋体" w:hAnsi="Times New Roman" w:cs="Times New Roman"/>
          <w:bCs/>
          <w:color w:val="000000" w:themeColor="text1"/>
          <w:kern w:val="0"/>
          <w:sz w:val="24"/>
          <w:szCs w:val="24"/>
        </w:rPr>
        <w:t>50%</w:t>
      </w:r>
      <w:r w:rsidRPr="007F3817">
        <w:rPr>
          <w:rFonts w:ascii="Times New Roman" w:eastAsia="宋体" w:hAnsi="Times New Roman" w:cs="Times New Roman"/>
          <w:bCs/>
          <w:color w:val="000000" w:themeColor="text1"/>
          <w:kern w:val="0"/>
          <w:sz w:val="24"/>
          <w:szCs w:val="24"/>
        </w:rPr>
        <w:t>）与笔试考核成绩（占比</w:t>
      </w:r>
      <w:r w:rsidRPr="007F3817">
        <w:rPr>
          <w:rFonts w:ascii="Times New Roman" w:eastAsia="宋体" w:hAnsi="Times New Roman" w:cs="Times New Roman"/>
          <w:bCs/>
          <w:color w:val="000000" w:themeColor="text1"/>
          <w:kern w:val="0"/>
          <w:sz w:val="24"/>
          <w:szCs w:val="24"/>
        </w:rPr>
        <w:t>50%</w:t>
      </w:r>
      <w:r w:rsidRPr="007F3817">
        <w:rPr>
          <w:rFonts w:ascii="Times New Roman" w:eastAsia="宋体" w:hAnsi="Times New Roman" w:cs="Times New Roman"/>
          <w:bCs/>
          <w:color w:val="000000" w:themeColor="text1"/>
          <w:kern w:val="0"/>
          <w:sz w:val="24"/>
          <w:szCs w:val="24"/>
        </w:rPr>
        <w:t>）</w:t>
      </w:r>
      <w:r w:rsidR="004C3618" w:rsidRPr="007F3817">
        <w:rPr>
          <w:rFonts w:ascii="Times New Roman" w:eastAsia="宋体" w:hAnsi="Times New Roman" w:cs="Times New Roman" w:hint="eastAsia"/>
          <w:bCs/>
          <w:color w:val="000000" w:themeColor="text1"/>
          <w:kern w:val="0"/>
          <w:sz w:val="24"/>
          <w:szCs w:val="24"/>
        </w:rPr>
        <w:t>两部分组成</w:t>
      </w:r>
      <w:r w:rsidRPr="007F3817">
        <w:rPr>
          <w:rFonts w:ascii="Times New Roman" w:eastAsia="宋体" w:hAnsi="Times New Roman" w:cs="Times New Roman"/>
          <w:bCs/>
          <w:color w:val="000000" w:themeColor="text1"/>
          <w:kern w:val="0"/>
          <w:sz w:val="24"/>
          <w:szCs w:val="24"/>
        </w:rPr>
        <w:t>。</w:t>
      </w:r>
    </w:p>
    <w:p w14:paraId="6642416B"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4</w:t>
      </w:r>
      <w:r w:rsidRPr="007F3817">
        <w:rPr>
          <w:rFonts w:ascii="Times New Roman" w:eastAsia="宋体" w:hAnsi="Times New Roman" w:cs="Times New Roman"/>
          <w:bCs/>
          <w:color w:val="000000" w:themeColor="text1"/>
          <w:kern w:val="0"/>
          <w:sz w:val="24"/>
          <w:szCs w:val="24"/>
        </w:rPr>
        <w:t>、进修学习后应达到的水平</w:t>
      </w:r>
    </w:p>
    <w:p w14:paraId="16D48AE1" w14:textId="4DB2D6FA" w:rsidR="00386CED" w:rsidRPr="007F3817" w:rsidRDefault="00330F66">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hint="eastAsia"/>
          <w:bCs/>
          <w:color w:val="000000" w:themeColor="text1"/>
          <w:kern w:val="0"/>
          <w:sz w:val="24"/>
          <w:szCs w:val="24"/>
        </w:rPr>
        <w:t>熟悉临床营养科工作模式及流程，</w:t>
      </w:r>
      <w:r w:rsidR="0003512A" w:rsidRPr="007F3817">
        <w:rPr>
          <w:rFonts w:ascii="Times New Roman" w:eastAsia="宋体" w:hAnsi="Times New Roman" w:cs="Times New Roman"/>
          <w:bCs/>
          <w:color w:val="000000" w:themeColor="text1"/>
          <w:kern w:val="0"/>
          <w:sz w:val="24"/>
          <w:szCs w:val="24"/>
        </w:rPr>
        <w:t>具备独立查房且能处理患者营养问题能力</w:t>
      </w:r>
      <w:r w:rsidRPr="007F3817">
        <w:rPr>
          <w:rFonts w:ascii="Times New Roman" w:eastAsia="宋体" w:hAnsi="Times New Roman" w:cs="Times New Roman" w:hint="eastAsia"/>
          <w:bCs/>
          <w:color w:val="000000" w:themeColor="text1"/>
          <w:kern w:val="0"/>
          <w:sz w:val="24"/>
          <w:szCs w:val="24"/>
        </w:rPr>
        <w:t>，</w:t>
      </w:r>
      <w:r w:rsidR="005E714D" w:rsidRPr="007F3817">
        <w:rPr>
          <w:rFonts w:ascii="Times New Roman" w:eastAsia="宋体" w:hAnsi="Times New Roman" w:cs="Times New Roman" w:hint="eastAsia"/>
          <w:bCs/>
          <w:color w:val="000000" w:themeColor="text1"/>
          <w:kern w:val="0"/>
          <w:sz w:val="24"/>
          <w:szCs w:val="24"/>
        </w:rPr>
        <w:t>熟练操作人体成分仪及代谢车</w:t>
      </w:r>
      <w:r w:rsidRPr="007F3817">
        <w:rPr>
          <w:rFonts w:ascii="Times New Roman" w:eastAsia="宋体" w:hAnsi="Times New Roman" w:cs="Times New Roman" w:hint="eastAsia"/>
          <w:bCs/>
          <w:color w:val="000000" w:themeColor="text1"/>
          <w:kern w:val="0"/>
          <w:sz w:val="24"/>
          <w:szCs w:val="24"/>
        </w:rPr>
        <w:t>，掌握医疗膳食配制，</w:t>
      </w:r>
      <w:r w:rsidR="0003512A" w:rsidRPr="007F3817">
        <w:rPr>
          <w:rFonts w:ascii="Times New Roman" w:eastAsia="宋体" w:hAnsi="Times New Roman" w:cs="Times New Roman"/>
          <w:bCs/>
          <w:color w:val="000000" w:themeColor="text1"/>
          <w:kern w:val="0"/>
          <w:sz w:val="24"/>
          <w:szCs w:val="24"/>
        </w:rPr>
        <w:t>具备营养知识宣教传播能力</w:t>
      </w:r>
      <w:r w:rsidR="005E714D" w:rsidRPr="007F3817">
        <w:rPr>
          <w:rFonts w:ascii="Times New Roman" w:eastAsia="宋体" w:hAnsi="Times New Roman" w:cs="Times New Roman" w:hint="eastAsia"/>
          <w:bCs/>
          <w:color w:val="000000" w:themeColor="text1"/>
          <w:kern w:val="0"/>
          <w:sz w:val="24"/>
          <w:szCs w:val="24"/>
        </w:rPr>
        <w:t>等</w:t>
      </w:r>
      <w:r w:rsidR="0003512A" w:rsidRPr="007F3817">
        <w:rPr>
          <w:rFonts w:ascii="Times New Roman" w:eastAsia="宋体" w:hAnsi="Times New Roman" w:cs="Times New Roman"/>
          <w:bCs/>
          <w:color w:val="000000" w:themeColor="text1"/>
          <w:kern w:val="0"/>
          <w:sz w:val="24"/>
          <w:szCs w:val="24"/>
        </w:rPr>
        <w:t>。</w:t>
      </w:r>
    </w:p>
    <w:p w14:paraId="72E08784" w14:textId="77777777" w:rsidR="00386CED" w:rsidRPr="007F3817" w:rsidRDefault="0003512A">
      <w:pPr>
        <w:spacing w:beforeLines="50" w:before="156" w:line="360" w:lineRule="auto"/>
        <w:ind w:firstLineChars="200" w:firstLine="482"/>
        <w:rPr>
          <w:rFonts w:ascii="Times New Roman" w:eastAsia="宋体" w:hAnsi="Times New Roman" w:cs="Times New Roman"/>
          <w:b/>
          <w:bCs/>
          <w:color w:val="000000" w:themeColor="text1"/>
          <w:kern w:val="0"/>
          <w:sz w:val="24"/>
          <w:szCs w:val="24"/>
        </w:rPr>
      </w:pPr>
      <w:r w:rsidRPr="007F3817">
        <w:rPr>
          <w:rFonts w:ascii="Times New Roman" w:eastAsia="宋体" w:hAnsi="Times New Roman" w:cs="Times New Roman"/>
          <w:b/>
          <w:bCs/>
          <w:color w:val="000000" w:themeColor="text1"/>
          <w:kern w:val="0"/>
          <w:sz w:val="24"/>
          <w:szCs w:val="24"/>
        </w:rPr>
        <w:t>四、进修学员资质要求</w:t>
      </w:r>
    </w:p>
    <w:p w14:paraId="2ABBD27C"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1</w:t>
      </w:r>
      <w:r w:rsidRPr="007F3817">
        <w:rPr>
          <w:rFonts w:ascii="Times New Roman" w:eastAsia="宋体" w:hAnsi="Times New Roman" w:cs="Times New Roman"/>
          <w:bCs/>
          <w:color w:val="000000" w:themeColor="text1"/>
          <w:kern w:val="0"/>
          <w:sz w:val="24"/>
          <w:szCs w:val="24"/>
        </w:rPr>
        <w:t>、学历：医科院校或营养相关专业毕业，具有本科及以上学历；</w:t>
      </w:r>
    </w:p>
    <w:p w14:paraId="02869885"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2</w:t>
      </w:r>
      <w:r w:rsidRPr="007F3817">
        <w:rPr>
          <w:rFonts w:ascii="Times New Roman" w:eastAsia="宋体" w:hAnsi="Times New Roman" w:cs="Times New Roman"/>
          <w:bCs/>
          <w:color w:val="000000" w:themeColor="text1"/>
          <w:kern w:val="0"/>
          <w:sz w:val="24"/>
          <w:szCs w:val="24"/>
        </w:rPr>
        <w:t>、工作年限：</w:t>
      </w:r>
      <w:r w:rsidRPr="007F3817">
        <w:rPr>
          <w:rFonts w:ascii="Times New Roman" w:eastAsia="宋体" w:hAnsi="Times New Roman" w:cs="Times New Roman"/>
          <w:bCs/>
          <w:color w:val="000000" w:themeColor="text1"/>
          <w:kern w:val="0"/>
          <w:sz w:val="24"/>
          <w:szCs w:val="24"/>
        </w:rPr>
        <w:t>2</w:t>
      </w:r>
      <w:r w:rsidRPr="007F3817">
        <w:rPr>
          <w:rFonts w:ascii="Times New Roman" w:eastAsia="宋体" w:hAnsi="Times New Roman" w:cs="Times New Roman"/>
          <w:bCs/>
          <w:color w:val="000000" w:themeColor="text1"/>
          <w:kern w:val="0"/>
          <w:sz w:val="24"/>
          <w:szCs w:val="24"/>
        </w:rPr>
        <w:t>年（含）以上相关工作经验，并且当前工作岗位隶属医院营养科；</w:t>
      </w:r>
    </w:p>
    <w:p w14:paraId="0095E602" w14:textId="77777777" w:rsidR="00386CED" w:rsidRPr="007F3817" w:rsidRDefault="0003512A">
      <w:pPr>
        <w:spacing w:line="360" w:lineRule="auto"/>
        <w:ind w:firstLineChars="200" w:firstLine="480"/>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3</w:t>
      </w:r>
      <w:r w:rsidRPr="007F3817">
        <w:rPr>
          <w:rFonts w:ascii="Times New Roman" w:eastAsia="宋体" w:hAnsi="Times New Roman" w:cs="Times New Roman"/>
          <w:bCs/>
          <w:color w:val="000000" w:themeColor="text1"/>
          <w:kern w:val="0"/>
          <w:sz w:val="24"/>
          <w:szCs w:val="24"/>
        </w:rPr>
        <w:t>、资格证：医师资格证、医师执业证或卫生技术类专业资格证书（营养、护理、药剂等）。</w:t>
      </w:r>
    </w:p>
    <w:p w14:paraId="1991EF70" w14:textId="77777777" w:rsidR="00386CED" w:rsidRPr="007F3817" w:rsidRDefault="0003512A">
      <w:pPr>
        <w:spacing w:line="360" w:lineRule="auto"/>
        <w:ind w:leftChars="2394" w:left="5027"/>
        <w:rPr>
          <w:rFonts w:ascii="Times New Roman" w:eastAsia="宋体" w:hAnsi="Times New Roman" w:cs="Times New Roman"/>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四川大学华西医院临床营养科</w:t>
      </w:r>
      <w:r w:rsidRPr="007F3817">
        <w:rPr>
          <w:rFonts w:ascii="Times New Roman" w:eastAsia="宋体" w:hAnsi="Times New Roman" w:cs="Times New Roman"/>
          <w:bCs/>
          <w:color w:val="000000" w:themeColor="text1"/>
          <w:kern w:val="0"/>
          <w:sz w:val="24"/>
          <w:szCs w:val="24"/>
        </w:rPr>
        <w:t xml:space="preserve">  </w:t>
      </w:r>
    </w:p>
    <w:p w14:paraId="34827CFA" w14:textId="50510638" w:rsidR="00386CED" w:rsidRPr="007F3817" w:rsidRDefault="0003512A" w:rsidP="007F3817">
      <w:pPr>
        <w:spacing w:line="360" w:lineRule="auto"/>
        <w:ind w:leftChars="2394" w:left="5027"/>
        <w:rPr>
          <w:rFonts w:ascii="Times New Roman" w:eastAsia="宋体" w:hAnsi="Times New Roman" w:cs="Times New Roman" w:hint="eastAsia"/>
          <w:bCs/>
          <w:color w:val="000000" w:themeColor="text1"/>
          <w:kern w:val="0"/>
          <w:sz w:val="24"/>
          <w:szCs w:val="24"/>
        </w:rPr>
      </w:pPr>
      <w:r w:rsidRPr="007F3817">
        <w:rPr>
          <w:rFonts w:ascii="Times New Roman" w:eastAsia="宋体" w:hAnsi="Times New Roman" w:cs="Times New Roman"/>
          <w:bCs/>
          <w:color w:val="000000" w:themeColor="text1"/>
          <w:kern w:val="0"/>
          <w:sz w:val="24"/>
          <w:szCs w:val="24"/>
        </w:rPr>
        <w:t>2022</w:t>
      </w:r>
      <w:r w:rsidRPr="007F3817">
        <w:rPr>
          <w:rFonts w:ascii="Times New Roman" w:eastAsia="宋体" w:hAnsi="Times New Roman" w:cs="Times New Roman"/>
          <w:bCs/>
          <w:color w:val="000000" w:themeColor="text1"/>
          <w:kern w:val="0"/>
          <w:sz w:val="24"/>
          <w:szCs w:val="24"/>
        </w:rPr>
        <w:t>年</w:t>
      </w:r>
      <w:r w:rsidRPr="007F3817">
        <w:rPr>
          <w:rFonts w:ascii="Times New Roman" w:eastAsia="宋体" w:hAnsi="Times New Roman" w:cs="Times New Roman"/>
          <w:bCs/>
          <w:color w:val="000000" w:themeColor="text1"/>
          <w:kern w:val="0"/>
          <w:sz w:val="24"/>
          <w:szCs w:val="24"/>
        </w:rPr>
        <w:t>8</w:t>
      </w:r>
      <w:r w:rsidRPr="007F3817">
        <w:rPr>
          <w:rFonts w:ascii="Times New Roman" w:eastAsia="宋体" w:hAnsi="Times New Roman" w:cs="Times New Roman"/>
          <w:bCs/>
          <w:color w:val="000000" w:themeColor="text1"/>
          <w:kern w:val="0"/>
          <w:sz w:val="24"/>
          <w:szCs w:val="24"/>
        </w:rPr>
        <w:t>月</w:t>
      </w:r>
      <w:r w:rsidRPr="007F3817">
        <w:rPr>
          <w:rFonts w:ascii="Times New Roman" w:eastAsia="宋体" w:hAnsi="Times New Roman" w:cs="Times New Roman"/>
          <w:bCs/>
          <w:color w:val="000000" w:themeColor="text1"/>
          <w:kern w:val="0"/>
          <w:sz w:val="24"/>
          <w:szCs w:val="24"/>
        </w:rPr>
        <w:t>8</w:t>
      </w:r>
      <w:r w:rsidRPr="007F3817">
        <w:rPr>
          <w:rFonts w:ascii="Times New Roman" w:eastAsia="宋体" w:hAnsi="Times New Roman" w:cs="Times New Roman"/>
          <w:bCs/>
          <w:color w:val="000000" w:themeColor="text1"/>
          <w:kern w:val="0"/>
          <w:sz w:val="24"/>
          <w:szCs w:val="24"/>
        </w:rPr>
        <w:t>日</w:t>
      </w:r>
    </w:p>
    <w:sectPr w:rsidR="00386CED" w:rsidRPr="007F38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2MDgwZTIzOTRjMTgxMGE0ZGQzY2EzZGI4OWY1ZDUifQ=="/>
  </w:docVars>
  <w:rsids>
    <w:rsidRoot w:val="002F5239"/>
    <w:rsid w:val="000002C7"/>
    <w:rsid w:val="000143EB"/>
    <w:rsid w:val="000266A2"/>
    <w:rsid w:val="0003512A"/>
    <w:rsid w:val="00043B3D"/>
    <w:rsid w:val="00045DF5"/>
    <w:rsid w:val="0007012F"/>
    <w:rsid w:val="000730EB"/>
    <w:rsid w:val="00074F84"/>
    <w:rsid w:val="000B161C"/>
    <w:rsid w:val="000C3F28"/>
    <w:rsid w:val="000D0E7B"/>
    <w:rsid w:val="000D1A0D"/>
    <w:rsid w:val="000F00DB"/>
    <w:rsid w:val="001018F9"/>
    <w:rsid w:val="00110A36"/>
    <w:rsid w:val="00113F7E"/>
    <w:rsid w:val="00125171"/>
    <w:rsid w:val="001271C1"/>
    <w:rsid w:val="001468B1"/>
    <w:rsid w:val="00146958"/>
    <w:rsid w:val="00153A27"/>
    <w:rsid w:val="0016624A"/>
    <w:rsid w:val="0017486D"/>
    <w:rsid w:val="001877C0"/>
    <w:rsid w:val="00193865"/>
    <w:rsid w:val="001C1E80"/>
    <w:rsid w:val="001C7EE5"/>
    <w:rsid w:val="00200D55"/>
    <w:rsid w:val="00224B3C"/>
    <w:rsid w:val="00225B76"/>
    <w:rsid w:val="00232F79"/>
    <w:rsid w:val="00243ADF"/>
    <w:rsid w:val="002513DA"/>
    <w:rsid w:val="00256CD6"/>
    <w:rsid w:val="00257553"/>
    <w:rsid w:val="00262AA1"/>
    <w:rsid w:val="00286EA9"/>
    <w:rsid w:val="002913B6"/>
    <w:rsid w:val="002A0776"/>
    <w:rsid w:val="002A1CE2"/>
    <w:rsid w:val="002B2607"/>
    <w:rsid w:val="002C7FBC"/>
    <w:rsid w:val="002E0B5C"/>
    <w:rsid w:val="002F4322"/>
    <w:rsid w:val="002F5239"/>
    <w:rsid w:val="002F6919"/>
    <w:rsid w:val="0030703E"/>
    <w:rsid w:val="003079A1"/>
    <w:rsid w:val="00314DE7"/>
    <w:rsid w:val="00330F66"/>
    <w:rsid w:val="00334FB8"/>
    <w:rsid w:val="0033618B"/>
    <w:rsid w:val="00337156"/>
    <w:rsid w:val="003504AF"/>
    <w:rsid w:val="00355FE6"/>
    <w:rsid w:val="00386CED"/>
    <w:rsid w:val="00395377"/>
    <w:rsid w:val="003B7BFC"/>
    <w:rsid w:val="003C05AB"/>
    <w:rsid w:val="003C0A73"/>
    <w:rsid w:val="003C3939"/>
    <w:rsid w:val="003D13B7"/>
    <w:rsid w:val="003D1578"/>
    <w:rsid w:val="003D2B07"/>
    <w:rsid w:val="003D397C"/>
    <w:rsid w:val="003F4250"/>
    <w:rsid w:val="004002CC"/>
    <w:rsid w:val="00404BF5"/>
    <w:rsid w:val="004076BA"/>
    <w:rsid w:val="00416206"/>
    <w:rsid w:val="00426AA6"/>
    <w:rsid w:val="004274B2"/>
    <w:rsid w:val="00452D73"/>
    <w:rsid w:val="00453DE9"/>
    <w:rsid w:val="00461D15"/>
    <w:rsid w:val="0046371E"/>
    <w:rsid w:val="00464F77"/>
    <w:rsid w:val="00484135"/>
    <w:rsid w:val="00487E6E"/>
    <w:rsid w:val="004937BD"/>
    <w:rsid w:val="004B5F67"/>
    <w:rsid w:val="004C3618"/>
    <w:rsid w:val="004D3824"/>
    <w:rsid w:val="004F67C8"/>
    <w:rsid w:val="005027AA"/>
    <w:rsid w:val="00520156"/>
    <w:rsid w:val="00524949"/>
    <w:rsid w:val="005439C0"/>
    <w:rsid w:val="00557152"/>
    <w:rsid w:val="00563382"/>
    <w:rsid w:val="00582F8D"/>
    <w:rsid w:val="00587B3E"/>
    <w:rsid w:val="005A5DD4"/>
    <w:rsid w:val="005A7554"/>
    <w:rsid w:val="005B187D"/>
    <w:rsid w:val="005E714D"/>
    <w:rsid w:val="005F1C1E"/>
    <w:rsid w:val="00622029"/>
    <w:rsid w:val="00646E09"/>
    <w:rsid w:val="00656C19"/>
    <w:rsid w:val="00671EEE"/>
    <w:rsid w:val="00676950"/>
    <w:rsid w:val="006828AD"/>
    <w:rsid w:val="00696A24"/>
    <w:rsid w:val="006A2FAB"/>
    <w:rsid w:val="006C08A9"/>
    <w:rsid w:val="006C20FA"/>
    <w:rsid w:val="006D1187"/>
    <w:rsid w:val="00721113"/>
    <w:rsid w:val="0074504F"/>
    <w:rsid w:val="00751AF9"/>
    <w:rsid w:val="007965B3"/>
    <w:rsid w:val="007C1944"/>
    <w:rsid w:val="007D4E26"/>
    <w:rsid w:val="007E5B6A"/>
    <w:rsid w:val="007F3817"/>
    <w:rsid w:val="0080625A"/>
    <w:rsid w:val="00817592"/>
    <w:rsid w:val="00821714"/>
    <w:rsid w:val="008260C9"/>
    <w:rsid w:val="00826AF7"/>
    <w:rsid w:val="0082790D"/>
    <w:rsid w:val="0084680C"/>
    <w:rsid w:val="00850163"/>
    <w:rsid w:val="008648B1"/>
    <w:rsid w:val="00866822"/>
    <w:rsid w:val="00875ED8"/>
    <w:rsid w:val="008C0249"/>
    <w:rsid w:val="008C5688"/>
    <w:rsid w:val="008C7852"/>
    <w:rsid w:val="008D3630"/>
    <w:rsid w:val="008D5680"/>
    <w:rsid w:val="008E2D27"/>
    <w:rsid w:val="008F68A3"/>
    <w:rsid w:val="0090034D"/>
    <w:rsid w:val="0092285F"/>
    <w:rsid w:val="00946FFD"/>
    <w:rsid w:val="00953E05"/>
    <w:rsid w:val="00967612"/>
    <w:rsid w:val="00967888"/>
    <w:rsid w:val="0097451D"/>
    <w:rsid w:val="009834BD"/>
    <w:rsid w:val="009A4FC0"/>
    <w:rsid w:val="009B3080"/>
    <w:rsid w:val="009D7A63"/>
    <w:rsid w:val="009E5B9E"/>
    <w:rsid w:val="009F5DAB"/>
    <w:rsid w:val="009F7439"/>
    <w:rsid w:val="00A24434"/>
    <w:rsid w:val="00A371AF"/>
    <w:rsid w:val="00A37817"/>
    <w:rsid w:val="00A43CF7"/>
    <w:rsid w:val="00A55EB3"/>
    <w:rsid w:val="00A76ADC"/>
    <w:rsid w:val="00A82A9E"/>
    <w:rsid w:val="00A83BCD"/>
    <w:rsid w:val="00A85EDB"/>
    <w:rsid w:val="00AA1A45"/>
    <w:rsid w:val="00AB3915"/>
    <w:rsid w:val="00AC4C6D"/>
    <w:rsid w:val="00AD7BF6"/>
    <w:rsid w:val="00AF56C0"/>
    <w:rsid w:val="00B05FF5"/>
    <w:rsid w:val="00B10DB0"/>
    <w:rsid w:val="00B27C62"/>
    <w:rsid w:val="00B318B1"/>
    <w:rsid w:val="00B37C97"/>
    <w:rsid w:val="00B53981"/>
    <w:rsid w:val="00B54A95"/>
    <w:rsid w:val="00B64F12"/>
    <w:rsid w:val="00B67B15"/>
    <w:rsid w:val="00BB12AF"/>
    <w:rsid w:val="00BC082B"/>
    <w:rsid w:val="00BC1780"/>
    <w:rsid w:val="00BC3ACD"/>
    <w:rsid w:val="00BC3FB1"/>
    <w:rsid w:val="00BF082D"/>
    <w:rsid w:val="00C33CB0"/>
    <w:rsid w:val="00C505CE"/>
    <w:rsid w:val="00C51A80"/>
    <w:rsid w:val="00C57B2F"/>
    <w:rsid w:val="00C96FE4"/>
    <w:rsid w:val="00CA166C"/>
    <w:rsid w:val="00CA33F7"/>
    <w:rsid w:val="00CA3702"/>
    <w:rsid w:val="00CB0EF7"/>
    <w:rsid w:val="00CC79C5"/>
    <w:rsid w:val="00CF241A"/>
    <w:rsid w:val="00D02925"/>
    <w:rsid w:val="00D10FFF"/>
    <w:rsid w:val="00D20A2D"/>
    <w:rsid w:val="00D30AC5"/>
    <w:rsid w:val="00D35CCC"/>
    <w:rsid w:val="00D61A4C"/>
    <w:rsid w:val="00D73698"/>
    <w:rsid w:val="00DC4AD3"/>
    <w:rsid w:val="00DD26E3"/>
    <w:rsid w:val="00E04617"/>
    <w:rsid w:val="00E17643"/>
    <w:rsid w:val="00E449A3"/>
    <w:rsid w:val="00E47742"/>
    <w:rsid w:val="00E63C22"/>
    <w:rsid w:val="00E63E98"/>
    <w:rsid w:val="00E72C1E"/>
    <w:rsid w:val="00E75570"/>
    <w:rsid w:val="00E86CAE"/>
    <w:rsid w:val="00E87EA1"/>
    <w:rsid w:val="00E92E2F"/>
    <w:rsid w:val="00EA1419"/>
    <w:rsid w:val="00EA3157"/>
    <w:rsid w:val="00EA619F"/>
    <w:rsid w:val="00EC3CA7"/>
    <w:rsid w:val="00ED121B"/>
    <w:rsid w:val="00ED4839"/>
    <w:rsid w:val="00ED565F"/>
    <w:rsid w:val="00EE2F8C"/>
    <w:rsid w:val="00EE4483"/>
    <w:rsid w:val="00EF4DBB"/>
    <w:rsid w:val="00EF7B9E"/>
    <w:rsid w:val="00F01818"/>
    <w:rsid w:val="00F226DF"/>
    <w:rsid w:val="00F23B39"/>
    <w:rsid w:val="00F261E1"/>
    <w:rsid w:val="00F378E2"/>
    <w:rsid w:val="00F47ECE"/>
    <w:rsid w:val="00F624A2"/>
    <w:rsid w:val="00F6307B"/>
    <w:rsid w:val="00F8055F"/>
    <w:rsid w:val="00F8379E"/>
    <w:rsid w:val="00FB482E"/>
    <w:rsid w:val="00FF14D6"/>
    <w:rsid w:val="22327259"/>
    <w:rsid w:val="32D03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4F339"/>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宋体" w:eastAsia="宋体"/>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paragraph" w:styleId="ac">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宋体" w:eastAsia="宋体"/>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d">
    <w:name w:val="Revision"/>
    <w:hidden/>
    <w:uiPriority w:val="99"/>
    <w:semiHidden/>
    <w:rsid w:val="007F381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443</Words>
  <Characters>2527</Characters>
  <Application>Microsoft Office Word</Application>
  <DocSecurity>0</DocSecurity>
  <Lines>21</Lines>
  <Paragraphs>5</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 </cp:lastModifiedBy>
  <cp:revision>14</cp:revision>
  <dcterms:created xsi:type="dcterms:W3CDTF">2022-08-09T12:32:00Z</dcterms:created>
  <dcterms:modified xsi:type="dcterms:W3CDTF">2022-08-15T06:53:00Z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A412B15AA28D45A4A249EAC9178D374F</vt:lpwstr>
  </property>
</Properties>
</file>