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AEB2">
      <w:pPr>
        <w:spacing w:line="360" w:lineRule="auto"/>
        <w:jc w:val="center"/>
        <w:rPr>
          <w:rFonts w:ascii="方正小标宋简体" w:eastAsia="方正小标宋简体"/>
          <w:b/>
          <w:sz w:val="44"/>
          <w:szCs w:val="44"/>
        </w:rPr>
      </w:pPr>
      <w:r>
        <w:rPr>
          <w:rFonts w:hint="eastAsia" w:ascii="方正小标宋简体" w:eastAsia="方正小标宋简体"/>
          <w:b/>
          <w:sz w:val="44"/>
          <w:szCs w:val="44"/>
        </w:rPr>
        <w:t>耳鼻咽喉头颈外科进修招生简章</w:t>
      </w:r>
    </w:p>
    <w:p w14:paraId="6977A9C5">
      <w:pPr>
        <w:pStyle w:val="9"/>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科室简介</w:t>
      </w:r>
    </w:p>
    <w:p w14:paraId="227A2854">
      <w:pPr>
        <w:pStyle w:val="9"/>
        <w:numPr>
          <w:ilvl w:val="0"/>
          <w:numId w:val="2"/>
        </w:numPr>
        <w:spacing w:line="360" w:lineRule="auto"/>
        <w:ind w:firstLineChars="0"/>
        <w:rPr>
          <w:rFonts w:ascii="仿宋_GB2312" w:eastAsia="仿宋_GB2312"/>
          <w:sz w:val="28"/>
          <w:szCs w:val="28"/>
        </w:rPr>
      </w:pPr>
      <w:r>
        <w:rPr>
          <w:rFonts w:hint="eastAsia" w:ascii="仿宋_GB2312" w:eastAsia="仿宋_GB2312"/>
          <w:sz w:val="28"/>
          <w:szCs w:val="28"/>
        </w:rPr>
        <w:t>科室学科建设情况</w:t>
      </w:r>
    </w:p>
    <w:p w14:paraId="1FD16F69">
      <w:pPr>
        <w:spacing w:line="360" w:lineRule="auto"/>
        <w:ind w:firstLine="565" w:firstLineChars="202"/>
        <w:rPr>
          <w:rFonts w:ascii="仿宋_GB2312" w:eastAsia="仿宋_GB2312"/>
          <w:color w:val="000000" w:themeColor="text1"/>
          <w:sz w:val="28"/>
          <w:szCs w:val="28"/>
        </w:rPr>
      </w:pPr>
      <w:r>
        <w:rPr>
          <w:rFonts w:hint="eastAsia" w:ascii="仿宋_GB2312" w:eastAsia="仿宋_GB2312"/>
          <w:color w:val="000000" w:themeColor="text1"/>
          <w:sz w:val="28"/>
          <w:szCs w:val="28"/>
        </w:rPr>
        <w:t>四川大学华西医院耳鼻咽喉头颈外科始创于1929年，其前身——成都存仁医院为我国和东南亚最大的一所眼耳鼻喉专科医院，也是我国耳鼻咽喉科学的主要发源地之一。国内著名的耳鼻咽喉科专家姜泗长、郑中立、卜国铉等曾在该科工作过。耳鼻咽喉－头颈外科分别于1978年、1986年被批准为我国硕士学位、博士学位授予点， 1992年成为全国博士后流动站单位，并于2007年被正式指定为国家临床药物试验耳鼻咽喉专业基地。</w:t>
      </w:r>
    </w:p>
    <w:p w14:paraId="56EB0C89">
      <w:pPr>
        <w:spacing w:line="360" w:lineRule="auto"/>
        <w:ind w:firstLine="565" w:firstLineChars="202"/>
        <w:rPr>
          <w:rFonts w:ascii="仿宋_GB2312" w:eastAsia="仿宋_GB2312"/>
          <w:color w:val="000000" w:themeColor="text1"/>
          <w:sz w:val="28"/>
          <w:szCs w:val="28"/>
        </w:rPr>
      </w:pPr>
      <w:r>
        <w:rPr>
          <w:rFonts w:hint="eastAsia" w:ascii="仿宋_GB2312" w:eastAsia="仿宋_GB2312"/>
          <w:color w:val="000000" w:themeColor="text1"/>
          <w:sz w:val="28"/>
          <w:szCs w:val="28"/>
        </w:rPr>
        <w:t>我科是享誉国内外的耳鼻喉专科之一，2008为评为四川省重点学科，2011年被评为卫生部重点专科，科室包括住院部正式编制床位84张，实际床位92张，门诊诊断室12间，内镜检查治疗室3间及听力中心，业务占地面积共2040平方米。另外还有听力中心实验室、耳鼻咽喉头颈外科上呼吸道实验室等科研基地。其中住院部病区1702平方米，病房区域808平方米，平均每张病床净使用面积为24平方米。科室拥有专用手术间5间，其中门诊日间手术间1间，住院部手术间4间。医疗设备先进，能满足专科开展全部技术项目需要。</w:t>
      </w:r>
    </w:p>
    <w:p w14:paraId="2CEDEB0A">
      <w:pPr>
        <w:pStyle w:val="9"/>
        <w:numPr>
          <w:ilvl w:val="0"/>
          <w:numId w:val="2"/>
        </w:numPr>
        <w:spacing w:line="360" w:lineRule="auto"/>
        <w:ind w:firstLineChars="0"/>
        <w:rPr>
          <w:rFonts w:ascii="仿宋_GB2312" w:eastAsia="仿宋_GB2312"/>
          <w:sz w:val="28"/>
          <w:szCs w:val="28"/>
        </w:rPr>
      </w:pPr>
      <w:r>
        <w:rPr>
          <w:rFonts w:hint="eastAsia" w:ascii="仿宋_GB2312" w:eastAsia="仿宋_GB2312"/>
          <w:sz w:val="28"/>
          <w:szCs w:val="28"/>
        </w:rPr>
        <w:t>科室现有专业组、师资情况</w:t>
      </w:r>
    </w:p>
    <w:p w14:paraId="0C53D7DE">
      <w:pPr>
        <w:spacing w:line="360" w:lineRule="auto"/>
        <w:ind w:firstLine="565" w:firstLineChars="202"/>
        <w:rPr>
          <w:rFonts w:ascii="仿宋_GB2312" w:eastAsia="仿宋_GB2312"/>
          <w:color w:val="000000" w:themeColor="text1"/>
          <w:sz w:val="28"/>
          <w:szCs w:val="28"/>
        </w:rPr>
      </w:pPr>
      <w:r>
        <w:rPr>
          <w:rFonts w:hint="eastAsia" w:ascii="仿宋_GB2312" w:eastAsia="仿宋_GB2312"/>
          <w:color w:val="000000" w:themeColor="text1"/>
          <w:sz w:val="28"/>
          <w:szCs w:val="28"/>
        </w:rPr>
        <w:t>我科不仅是西部地区疑难、危重病人的诊疗中心，而且还是国家高级医学人才培养的基地和研究型的医院。目前科室开设有耳科、鼻科、咽喉科、头颈外科、鼾症中心、</w:t>
      </w:r>
      <w:r>
        <w:fldChar w:fldCharType="begin"/>
      </w:r>
      <w:r>
        <w:instrText xml:space="preserve"> HYPERLINK "http://www.cd120.com/yiliaofuwu/tinglizhongxin/2009/1013/837.html" </w:instrText>
      </w:r>
      <w:r>
        <w:fldChar w:fldCharType="separate"/>
      </w:r>
      <w:r>
        <w:rPr>
          <w:rStyle w:val="8"/>
          <w:rFonts w:hint="eastAsia" w:ascii="仿宋_GB2312" w:eastAsia="仿宋_GB2312"/>
          <w:bCs/>
          <w:color w:val="000000" w:themeColor="text1"/>
          <w:sz w:val="28"/>
          <w:szCs w:val="28"/>
          <w:u w:val="none"/>
        </w:rPr>
        <w:t>听力中心</w:t>
      </w:r>
      <w:r>
        <w:rPr>
          <w:rStyle w:val="8"/>
          <w:rFonts w:hint="eastAsia" w:ascii="仿宋_GB2312" w:eastAsia="仿宋_GB2312"/>
          <w:bCs/>
          <w:color w:val="000000" w:themeColor="text1"/>
          <w:sz w:val="28"/>
          <w:szCs w:val="28"/>
          <w:u w:val="none"/>
        </w:rPr>
        <w:fldChar w:fldCharType="end"/>
      </w:r>
      <w:r>
        <w:rPr>
          <w:rStyle w:val="7"/>
          <w:rFonts w:hint="eastAsia" w:ascii="仿宋_GB2312" w:eastAsia="仿宋_GB2312"/>
          <w:b w:val="0"/>
          <w:color w:val="000000" w:themeColor="text1"/>
          <w:sz w:val="28"/>
          <w:szCs w:val="28"/>
        </w:rPr>
        <w:t>与前庭功能检查室、</w:t>
      </w:r>
      <w:r>
        <w:fldChar w:fldCharType="begin"/>
      </w:r>
      <w:r>
        <w:instrText xml:space="preserve"> HYPERLINK "http://www.cd120.com/yiliaofuwu/rengongerwozhiruzhongxin/2009/1009/2664.html" </w:instrText>
      </w:r>
      <w:r>
        <w:fldChar w:fldCharType="separate"/>
      </w:r>
      <w:r>
        <w:rPr>
          <w:rStyle w:val="8"/>
          <w:rFonts w:hint="eastAsia" w:ascii="仿宋_GB2312" w:eastAsia="仿宋_GB2312"/>
          <w:color w:val="000000" w:themeColor="text1"/>
          <w:sz w:val="28"/>
          <w:szCs w:val="28"/>
          <w:u w:val="none"/>
        </w:rPr>
        <w:t>人工耳蜗植入中心</w:t>
      </w:r>
      <w:r>
        <w:rPr>
          <w:rStyle w:val="8"/>
          <w:rFonts w:hint="eastAsia" w:ascii="仿宋_GB2312" w:eastAsia="仿宋_GB2312"/>
          <w:color w:val="000000" w:themeColor="text1"/>
          <w:sz w:val="28"/>
          <w:szCs w:val="28"/>
          <w:u w:val="none"/>
        </w:rPr>
        <w:fldChar w:fldCharType="end"/>
      </w:r>
      <w:r>
        <w:rPr>
          <w:rFonts w:hint="eastAsia" w:ascii="仿宋_GB2312" w:eastAsia="仿宋_GB2312"/>
          <w:sz w:val="28"/>
          <w:szCs w:val="28"/>
        </w:rPr>
        <w:t>及专科护理等专业组。</w:t>
      </w:r>
      <w:r>
        <w:rPr>
          <w:rFonts w:hint="eastAsia" w:ascii="仿宋_GB2312" w:eastAsia="仿宋_GB2312"/>
          <w:color w:val="000000" w:themeColor="text1"/>
          <w:sz w:val="28"/>
          <w:szCs w:val="28"/>
        </w:rPr>
        <w:t>为了与医院的战略目标和定位相适应，耳鼻咽喉－头颈外科在本科教学、七年制、八年制、留学生及毕业后教学上作了大量的改革和投入。建立和完善了各项管理制度和教学评估制度。编写和完善了中、英文耳鼻咽喉科学多媒体课件，能顺利地进行双语或全英语的留学生课堂教学和实习教学。参编或主编了5年制、7年制全国高等学校医学规范化教材，耳鼻喉科住院医师规范化培训教材和国家“十一五”规范教材。在全国率先启动了住院医师5年规范化培训。近3年来培养博士、硕士研究生50 余名，为全国医疗界输送了大量的高端专业技术人才。科室成员先后承担多项国家自然科学基金、四川省科技厅科研基金项目及教育部博士点基金等。每年在国内、外核心期刊、SCI期刊发表论著平均达70余篇。获多项科技进步成果奖。</w:t>
      </w:r>
    </w:p>
    <w:p w14:paraId="23430145">
      <w:pPr>
        <w:spacing w:line="360" w:lineRule="auto"/>
        <w:ind w:firstLine="560" w:firstLineChars="200"/>
        <w:rPr>
          <w:rFonts w:ascii="仿宋_GB2312" w:eastAsia="仿宋_GB2312"/>
          <w:color w:val="000000" w:themeColor="text1"/>
          <w:sz w:val="28"/>
          <w:szCs w:val="28"/>
        </w:rPr>
      </w:pPr>
      <w:r>
        <w:rPr>
          <w:rFonts w:hint="eastAsia" w:ascii="仿宋_GB2312" w:eastAsia="仿宋_GB2312"/>
          <w:color w:val="000000" w:themeColor="text1"/>
          <w:sz w:val="28"/>
          <w:szCs w:val="28"/>
        </w:rPr>
        <w:t>目前科室拥有医护人员60余人，在职医生中80%拥有博士学位，有10余名医生先后赴美国、加拿大、日本、香港攻读学位或研修学习。我科还承担博士、硕士、本科生及规陪医师培养等医学教学任务，其中博士研究生导师4人、硕士研究生导师9人、规陪医师导师及本科生导师各10余人。</w:t>
      </w:r>
    </w:p>
    <w:p w14:paraId="6EF1860B">
      <w:pPr>
        <w:pStyle w:val="9"/>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进修专业简介</w:t>
      </w:r>
    </w:p>
    <w:p w14:paraId="7F083871">
      <w:pPr>
        <w:pStyle w:val="9"/>
        <w:numPr>
          <w:ilvl w:val="0"/>
          <w:numId w:val="3"/>
        </w:numPr>
        <w:spacing w:line="360" w:lineRule="auto"/>
        <w:ind w:firstLineChars="0"/>
        <w:rPr>
          <w:rFonts w:ascii="仿宋_GB2312" w:eastAsia="仿宋_GB2312"/>
          <w:sz w:val="28"/>
          <w:szCs w:val="28"/>
        </w:rPr>
      </w:pPr>
      <w:r>
        <w:rPr>
          <w:rFonts w:hint="eastAsia" w:ascii="仿宋_GB2312" w:eastAsia="仿宋_GB2312"/>
          <w:sz w:val="28"/>
          <w:szCs w:val="28"/>
        </w:rPr>
        <w:t>进修方向（亚专业及项目介绍）</w:t>
      </w:r>
    </w:p>
    <w:p w14:paraId="07123B24">
      <w:pPr>
        <w:spacing w:line="360" w:lineRule="auto"/>
        <w:ind w:firstLine="565" w:firstLineChars="201"/>
        <w:rPr>
          <w:rFonts w:ascii="仿宋_GB2312" w:eastAsia="仿宋_GB2312"/>
          <w:color w:val="000000" w:themeColor="text1"/>
          <w:sz w:val="28"/>
          <w:szCs w:val="28"/>
        </w:rPr>
      </w:pPr>
      <w:r>
        <w:rPr>
          <w:rStyle w:val="7"/>
          <w:rFonts w:hint="eastAsia" w:ascii="仿宋_GB2312" w:eastAsia="仿宋_GB2312"/>
          <w:color w:val="000000" w:themeColor="text1"/>
          <w:sz w:val="28"/>
          <w:szCs w:val="28"/>
        </w:rPr>
        <w:t>耳科：</w:t>
      </w:r>
      <w:r>
        <w:rPr>
          <w:rFonts w:hint="eastAsia" w:ascii="仿宋_GB2312" w:eastAsia="仿宋_GB2312"/>
          <w:color w:val="000000" w:themeColor="text1"/>
          <w:sz w:val="28"/>
          <w:szCs w:val="28"/>
        </w:rPr>
        <w:t>全面开展耳部各种疾病（包括面神经疾病）的特殊检查、诊断及内外科治疗，包括听力重建术、人工耳蜗植入术及各种听觉补偿技术；开展眩晕疾病的各种特殊检查、诊断及内外科治疗。在内耳电生理基础研究方面已获2项国家自然基金资助。同时每年承担四川省继续医学教育项目，举办了多次颞骨解剖培训班，对基层医院的耳科发展起到了重要推动作用。</w:t>
      </w:r>
    </w:p>
    <w:p w14:paraId="0F9ACD25">
      <w:pPr>
        <w:spacing w:line="360" w:lineRule="auto"/>
        <w:ind w:firstLine="565" w:firstLineChars="201"/>
        <w:rPr>
          <w:rFonts w:ascii="仿宋_GB2312" w:eastAsia="仿宋_GB2312"/>
          <w:color w:val="000000" w:themeColor="text1"/>
          <w:sz w:val="28"/>
          <w:szCs w:val="28"/>
        </w:rPr>
      </w:pPr>
      <w:r>
        <w:rPr>
          <w:rStyle w:val="7"/>
          <w:rFonts w:hint="eastAsia" w:ascii="仿宋_GB2312" w:eastAsia="仿宋_GB2312"/>
          <w:color w:val="000000" w:themeColor="text1"/>
          <w:sz w:val="28"/>
          <w:szCs w:val="28"/>
        </w:rPr>
        <w:t>鼻科：</w:t>
      </w:r>
      <w:r>
        <w:rPr>
          <w:rFonts w:hint="eastAsia" w:ascii="仿宋_GB2312" w:eastAsia="仿宋_GB2312"/>
          <w:color w:val="000000" w:themeColor="text1"/>
          <w:sz w:val="28"/>
          <w:szCs w:val="28"/>
        </w:rPr>
        <w:t>开展各种鼻及鼻窦疾病的诊治，全方位开展鼻内镜鼻窦外科手术、脑脊液鼻漏修补术、鼻—蝶窦—垂体肿瘤切除术、鼻颅底外科手术以及鼻眼相关外科手术，技术水平达到了国内先进水平。同时每年还承担了四川省继续医学教育项目，举办了多次鼻内窥镜学习班，为基层培养了大量的鼻内镜外科技术骨干。目前，已与比利时根特大学合作建立了上呼吸道实验室（URL），全面开展鼻--鼻窦炎、过敏性鼻炎、鼻息肉等鼻科领域的基础临床研究，获得了多项国家自然科学基金科研项目。</w:t>
      </w:r>
    </w:p>
    <w:p w14:paraId="0A3E3F88">
      <w:pPr>
        <w:spacing w:line="360" w:lineRule="auto"/>
        <w:ind w:firstLine="565" w:firstLineChars="201"/>
        <w:rPr>
          <w:rFonts w:ascii="仿宋_GB2312" w:eastAsia="仿宋_GB2312"/>
          <w:color w:val="000000" w:themeColor="text1"/>
          <w:sz w:val="28"/>
          <w:szCs w:val="28"/>
        </w:rPr>
      </w:pPr>
      <w:r>
        <w:rPr>
          <w:rStyle w:val="7"/>
          <w:rFonts w:hint="eastAsia" w:ascii="仿宋_GB2312" w:eastAsia="仿宋_GB2312"/>
          <w:color w:val="000000" w:themeColor="text1"/>
          <w:sz w:val="28"/>
          <w:szCs w:val="28"/>
        </w:rPr>
        <w:t>咽喉科：</w:t>
      </w:r>
      <w:r>
        <w:rPr>
          <w:rFonts w:hint="eastAsia" w:ascii="仿宋_GB2312" w:eastAsia="仿宋_GB2312"/>
          <w:color w:val="000000" w:themeColor="text1"/>
          <w:sz w:val="28"/>
          <w:szCs w:val="28"/>
        </w:rPr>
        <w:t>采用CO2激光机，在支撑喉镜下开展声带息肉、喉狭窄、咽喉部各种良性肿瘤及早期喉癌、喉咽癌的显微外科治疗，取得了较好的疗效。其设备和技术水平达到了国内先进水平。有关喉癌基因治疗及发病机理的研究获得了3项国家自然基金资助和2项省级科技进步奖。</w:t>
      </w:r>
    </w:p>
    <w:p w14:paraId="68B7C75E">
      <w:pPr>
        <w:spacing w:line="360" w:lineRule="auto"/>
        <w:ind w:firstLine="565" w:firstLineChars="201"/>
        <w:rPr>
          <w:rFonts w:ascii="仿宋_GB2312" w:eastAsia="仿宋_GB2312"/>
          <w:color w:val="000000" w:themeColor="text1"/>
          <w:sz w:val="28"/>
          <w:szCs w:val="28"/>
        </w:rPr>
      </w:pPr>
      <w:r>
        <w:rPr>
          <w:rStyle w:val="7"/>
          <w:rFonts w:hint="eastAsia" w:ascii="仿宋_GB2312" w:eastAsia="仿宋_GB2312"/>
          <w:color w:val="000000" w:themeColor="text1"/>
          <w:sz w:val="28"/>
          <w:szCs w:val="28"/>
        </w:rPr>
        <w:t>头颈外科：</w:t>
      </w:r>
      <w:r>
        <w:rPr>
          <w:rFonts w:hint="eastAsia" w:ascii="仿宋_GB2312" w:eastAsia="仿宋_GB2312"/>
          <w:color w:val="000000" w:themeColor="text1"/>
          <w:sz w:val="28"/>
          <w:szCs w:val="28"/>
        </w:rPr>
        <w:t>全面开展头颈部肿瘤的诊断及外科治疗，头颈肿瘤切除术后的修复及重建外科手术，游离空肠移植治疗晚期下咽癌手术，均取得了较好的疗效。并且与我院肿瘤放疗科、病理科、国家生物治疗实验室专家一起组建了头颈肿瘤研讨学组，致力于头颈肿瘤的规范性治疗及科研、学术探讨。</w:t>
      </w:r>
    </w:p>
    <w:p w14:paraId="57E45F39">
      <w:pPr>
        <w:spacing w:line="360" w:lineRule="auto"/>
        <w:ind w:firstLine="565" w:firstLineChars="201"/>
        <w:rPr>
          <w:rFonts w:ascii="仿宋_GB2312" w:eastAsia="仿宋_GB2312"/>
          <w:color w:val="000000" w:themeColor="text1"/>
          <w:sz w:val="28"/>
          <w:szCs w:val="28"/>
        </w:rPr>
      </w:pPr>
      <w:r>
        <w:rPr>
          <w:rStyle w:val="7"/>
          <w:rFonts w:hint="eastAsia" w:ascii="仿宋_GB2312" w:eastAsia="仿宋_GB2312"/>
          <w:color w:val="000000" w:themeColor="text1"/>
          <w:sz w:val="28"/>
          <w:szCs w:val="28"/>
        </w:rPr>
        <w:t>鼾症中心：</w:t>
      </w:r>
      <w:r>
        <w:rPr>
          <w:rFonts w:hint="eastAsia" w:ascii="仿宋_GB2312" w:eastAsia="仿宋_GB2312"/>
          <w:color w:val="000000" w:themeColor="text1"/>
          <w:sz w:val="28"/>
          <w:szCs w:val="28"/>
        </w:rPr>
        <w:t>与呼吸睡眠监测中心、麻醉科联合组建了呼吸睡眠疾病学组，开展了鼾症疾病（阻塞性睡眠呼吸暂停低通气综合征）的各种内、外科治疗，已具有较成熟的经验及专业队伍。</w:t>
      </w:r>
    </w:p>
    <w:p w14:paraId="0BD953AA">
      <w:pPr>
        <w:spacing w:line="360" w:lineRule="auto"/>
        <w:ind w:firstLine="422" w:firstLineChars="201"/>
        <w:rPr>
          <w:rFonts w:ascii="仿宋_GB2312" w:eastAsia="仿宋_GB2312"/>
          <w:color w:val="000000" w:themeColor="text1"/>
          <w:sz w:val="28"/>
          <w:szCs w:val="28"/>
        </w:rPr>
      </w:pPr>
      <w:r>
        <w:rPr>
          <w:rFonts w:hint="eastAsia"/>
        </w:rPr>
        <w:t xml:space="preserve">  </w:t>
      </w:r>
      <w:r>
        <w:fldChar w:fldCharType="begin"/>
      </w:r>
      <w:r>
        <w:instrText xml:space="preserve"> HYPERLINK "http://www.cd120.com/yiliaofuwu/tinglizhongxin/2009/1013/837.html" </w:instrText>
      </w:r>
      <w:r>
        <w:fldChar w:fldCharType="separate"/>
      </w:r>
      <w:r>
        <w:rPr>
          <w:rStyle w:val="8"/>
          <w:rFonts w:hint="eastAsia" w:ascii="仿宋_GB2312" w:eastAsia="仿宋_GB2312"/>
          <w:b/>
          <w:bCs/>
          <w:color w:val="000000" w:themeColor="text1"/>
          <w:sz w:val="28"/>
          <w:szCs w:val="28"/>
          <w:u w:val="none"/>
        </w:rPr>
        <w:t>听力中心</w:t>
      </w:r>
      <w:r>
        <w:rPr>
          <w:rStyle w:val="8"/>
          <w:rFonts w:hint="eastAsia" w:ascii="仿宋_GB2312" w:eastAsia="仿宋_GB2312"/>
          <w:b/>
          <w:bCs/>
          <w:color w:val="000000" w:themeColor="text1"/>
          <w:sz w:val="28"/>
          <w:szCs w:val="28"/>
          <w:u w:val="none"/>
        </w:rPr>
        <w:fldChar w:fldCharType="end"/>
      </w:r>
      <w:r>
        <w:rPr>
          <w:rStyle w:val="7"/>
          <w:rFonts w:hint="eastAsia" w:ascii="仿宋_GB2312" w:eastAsia="仿宋_GB2312"/>
          <w:color w:val="000000" w:themeColor="text1"/>
          <w:sz w:val="28"/>
          <w:szCs w:val="28"/>
        </w:rPr>
        <w:t>与前庭功能检查室：</w:t>
      </w:r>
      <w:r>
        <w:rPr>
          <w:rStyle w:val="7"/>
          <w:rFonts w:hint="eastAsia" w:ascii="仿宋_GB2312" w:eastAsia="仿宋_GB2312"/>
          <w:b w:val="0"/>
          <w:color w:val="000000" w:themeColor="text1"/>
          <w:sz w:val="28"/>
          <w:szCs w:val="28"/>
        </w:rPr>
        <w:t>听力中心</w:t>
      </w:r>
      <w:r>
        <w:rPr>
          <w:rFonts w:hint="eastAsia" w:ascii="仿宋_GB2312" w:eastAsia="仿宋_GB2312"/>
          <w:color w:val="000000" w:themeColor="text1"/>
          <w:sz w:val="28"/>
          <w:szCs w:val="28"/>
        </w:rPr>
        <w:t>拥有6间测听室、4间听觉言语康复室及国际一流的听力学检测设备，所开展的二十余项听力检测项目和听力康复手段均与国际接轨，达到国际先进水平。业务范围包括从初生婴儿到老年人，从听力问题的发现、诊断到听觉言语康复及听力保护问题的咨询。由于中心在国内最早开始听力学研究生教育项目和听力技师规范化培养教育项目，因此已成为国内高级/中级听力学专业人才培养的重要基地。听力中心与美国HOUSE耳研所合作，在聋儿听觉康复效果评估及幼儿言语测听方法的研发等方面取得了重大进展和良好的成果。中心目前也是联合国儿基会聋儿双语项目基地。前庭功能检查室拥有VNG眼震电图仪，开展BPPV手法复位及低压脉冲治疗梅尼埃病等治疗，开设有眩晕专科门诊，能满足耳眩晕疾病的基本诊疗需求。</w:t>
      </w:r>
    </w:p>
    <w:p w14:paraId="4E205982">
      <w:pPr>
        <w:spacing w:line="360" w:lineRule="auto"/>
        <w:ind w:firstLine="422" w:firstLineChars="201"/>
        <w:rPr>
          <w:rFonts w:ascii="仿宋_GB2312" w:eastAsia="仿宋_GB2312"/>
          <w:color w:val="000000" w:themeColor="text1"/>
          <w:sz w:val="28"/>
          <w:szCs w:val="28"/>
        </w:rPr>
      </w:pPr>
      <w:r>
        <w:rPr>
          <w:rFonts w:hint="eastAsia"/>
        </w:rPr>
        <w:t xml:space="preserve">  </w:t>
      </w:r>
      <w:r>
        <w:fldChar w:fldCharType="begin"/>
      </w:r>
      <w:r>
        <w:instrText xml:space="preserve"> HYPERLINK "http://www.cd120.com/yiliaofuwu/rengongerwozhiruzhongxin/2009/1009/2664.html" </w:instrText>
      </w:r>
      <w:r>
        <w:fldChar w:fldCharType="separate"/>
      </w:r>
      <w:r>
        <w:rPr>
          <w:rStyle w:val="8"/>
          <w:rFonts w:hint="eastAsia" w:ascii="仿宋_GB2312" w:eastAsia="仿宋_GB2312"/>
          <w:b/>
          <w:color w:val="000000" w:themeColor="text1"/>
          <w:sz w:val="28"/>
          <w:szCs w:val="28"/>
          <w:u w:val="none"/>
        </w:rPr>
        <w:t>人工耳蜗植入中心</w:t>
      </w:r>
      <w:r>
        <w:rPr>
          <w:rStyle w:val="8"/>
          <w:rFonts w:hint="eastAsia" w:ascii="仿宋_GB2312" w:eastAsia="仿宋_GB2312"/>
          <w:b/>
          <w:color w:val="000000" w:themeColor="text1"/>
          <w:sz w:val="28"/>
          <w:szCs w:val="28"/>
          <w:u w:val="none"/>
        </w:rPr>
        <w:fldChar w:fldCharType="end"/>
      </w:r>
      <w:r>
        <w:rPr>
          <w:rFonts w:hint="eastAsia" w:ascii="仿宋_GB2312" w:eastAsia="仿宋_GB2312"/>
          <w:b/>
          <w:bCs/>
          <w:color w:val="000000" w:themeColor="text1"/>
          <w:sz w:val="28"/>
          <w:szCs w:val="28"/>
        </w:rPr>
        <w:t>：</w:t>
      </w:r>
      <w:r>
        <w:rPr>
          <w:rFonts w:hint="eastAsia" w:ascii="仿宋_GB2312" w:eastAsia="仿宋_GB2312"/>
          <w:color w:val="000000" w:themeColor="text1"/>
          <w:sz w:val="28"/>
          <w:szCs w:val="28"/>
        </w:rPr>
        <w:t>是卫生部 “听力重建启聪行动”人工耳蜗捐赠项目指定的全国十家医院之一。每年行人工耳蜗植入手术过百例，使不少患儿实现了恢复听力的梦想。</w:t>
      </w:r>
    </w:p>
    <w:p w14:paraId="7C3AB1CD">
      <w:pPr>
        <w:spacing w:line="360" w:lineRule="auto"/>
        <w:ind w:firstLine="565" w:firstLineChars="201"/>
        <w:rPr>
          <w:rFonts w:ascii="仿宋_GB2312" w:eastAsia="仿宋_GB2312"/>
          <w:color w:val="000000" w:themeColor="text1"/>
          <w:sz w:val="28"/>
          <w:szCs w:val="28"/>
        </w:rPr>
      </w:pPr>
      <w:r>
        <w:rPr>
          <w:rStyle w:val="7"/>
          <w:rFonts w:hint="eastAsia" w:ascii="仿宋_GB2312" w:eastAsia="仿宋_GB2312"/>
          <w:color w:val="000000" w:themeColor="text1"/>
          <w:sz w:val="28"/>
          <w:szCs w:val="28"/>
        </w:rPr>
        <w:t>护理：</w:t>
      </w:r>
      <w:r>
        <w:rPr>
          <w:rFonts w:hint="eastAsia" w:ascii="仿宋_GB2312" w:eastAsia="仿宋_GB2312"/>
          <w:color w:val="000000" w:themeColor="text1"/>
          <w:sz w:val="28"/>
          <w:szCs w:val="28"/>
        </w:rPr>
        <w:t>我科是整体护理病房，具有完整的专科护理程序和熟练使用的能力，形成了“以病人为中心”的服务思想，有良好的团队精神，学习风气浓厚，整体素质高。全面掌握了专科护理技术和技能，特别在危重、疑难病症和新技术方面具有自己的护理特色。</w:t>
      </w:r>
    </w:p>
    <w:p w14:paraId="633CBACE">
      <w:pPr>
        <w:spacing w:line="360" w:lineRule="auto"/>
        <w:ind w:left="424" w:leftChars="202"/>
        <w:rPr>
          <w:rFonts w:ascii="仿宋_GB2312" w:eastAsia="仿宋_GB2312"/>
          <w:color w:val="000000" w:themeColor="text1"/>
          <w:sz w:val="28"/>
          <w:szCs w:val="28"/>
        </w:rPr>
      </w:pPr>
    </w:p>
    <w:p w14:paraId="7FF3FC0B">
      <w:pPr>
        <w:pStyle w:val="9"/>
        <w:numPr>
          <w:ilvl w:val="0"/>
          <w:numId w:val="3"/>
        </w:numPr>
        <w:spacing w:line="360" w:lineRule="auto"/>
        <w:ind w:firstLineChars="0"/>
        <w:rPr>
          <w:rFonts w:ascii="仿宋_GB2312" w:eastAsia="仿宋_GB2312"/>
          <w:sz w:val="28"/>
          <w:szCs w:val="28"/>
        </w:rPr>
      </w:pPr>
      <w:r>
        <w:rPr>
          <w:rFonts w:hint="eastAsia" w:ascii="仿宋_GB2312" w:eastAsia="仿宋_GB2312"/>
          <w:sz w:val="28"/>
          <w:szCs w:val="28"/>
        </w:rPr>
        <w:t>招生时间及进修期限</w:t>
      </w:r>
    </w:p>
    <w:p w14:paraId="6A8E5999">
      <w:pPr>
        <w:spacing w:line="360" w:lineRule="auto"/>
        <w:ind w:firstLine="565" w:firstLineChars="202"/>
        <w:rPr>
          <w:rFonts w:ascii="仿宋_GB2312" w:eastAsia="仿宋_GB2312"/>
          <w:color w:val="000000" w:themeColor="text1"/>
          <w:sz w:val="28"/>
          <w:szCs w:val="28"/>
        </w:rPr>
      </w:pPr>
      <w:r>
        <w:rPr>
          <w:rFonts w:hint="eastAsia" w:ascii="仿宋_GB2312" w:eastAsia="仿宋_GB2312"/>
          <w:color w:val="000000" w:themeColor="text1"/>
          <w:sz w:val="28"/>
          <w:szCs w:val="28"/>
        </w:rPr>
        <w:t>每年录取进修生两次，即春、秋季招生，进修期限原则上为一年，招生时间一般定在入学的前两月，即春季（3月初）入学者，1月份录取；秋季（9月份）入学者，7月份录取。</w:t>
      </w:r>
    </w:p>
    <w:p w14:paraId="12A6F669">
      <w:pPr>
        <w:spacing w:line="360" w:lineRule="auto"/>
        <w:ind w:left="420"/>
        <w:rPr>
          <w:rFonts w:ascii="仿宋_GB2312" w:eastAsia="仿宋_GB2312"/>
          <w:sz w:val="28"/>
          <w:szCs w:val="28"/>
        </w:rPr>
      </w:pPr>
    </w:p>
    <w:p w14:paraId="7EDEA49E">
      <w:pPr>
        <w:spacing w:line="360" w:lineRule="auto"/>
        <w:ind w:left="420"/>
        <w:rPr>
          <w:rFonts w:ascii="仿宋_GB2312" w:eastAsia="仿宋_GB2312"/>
          <w:sz w:val="28"/>
          <w:szCs w:val="28"/>
        </w:rPr>
      </w:pPr>
      <w:r>
        <w:rPr>
          <w:rFonts w:hint="eastAsia" w:ascii="仿宋_GB2312" w:eastAsia="仿宋_GB2312"/>
          <w:sz w:val="28"/>
          <w:szCs w:val="28"/>
        </w:rPr>
        <w:t>附：各专业进修期限安排表</w:t>
      </w:r>
    </w:p>
    <w:tbl>
      <w:tblPr>
        <w:tblStyle w:val="5"/>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9"/>
        <w:gridCol w:w="2699"/>
        <w:gridCol w:w="2694"/>
      </w:tblGrid>
      <w:tr w14:paraId="3638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9" w:type="dxa"/>
          </w:tcPr>
          <w:p w14:paraId="5CEE81CE">
            <w:pPr>
              <w:spacing w:line="360" w:lineRule="auto"/>
              <w:rPr>
                <w:rFonts w:ascii="仿宋_GB2312" w:eastAsia="仿宋_GB2312"/>
                <w:sz w:val="28"/>
                <w:szCs w:val="28"/>
              </w:rPr>
            </w:pPr>
            <w:r>
              <w:rPr>
                <w:rFonts w:hint="eastAsia" w:ascii="仿宋_GB2312" w:eastAsia="仿宋_GB2312"/>
                <w:sz w:val="28"/>
                <w:szCs w:val="28"/>
              </w:rPr>
              <w:t>进修专业</w:t>
            </w:r>
          </w:p>
        </w:tc>
        <w:tc>
          <w:tcPr>
            <w:tcW w:w="2699" w:type="dxa"/>
          </w:tcPr>
          <w:p w14:paraId="01CF3C51">
            <w:pPr>
              <w:spacing w:line="360" w:lineRule="auto"/>
              <w:rPr>
                <w:rFonts w:ascii="仿宋_GB2312" w:eastAsia="仿宋_GB2312"/>
                <w:sz w:val="28"/>
                <w:szCs w:val="28"/>
              </w:rPr>
            </w:pPr>
            <w:r>
              <w:rPr>
                <w:rFonts w:hint="eastAsia" w:ascii="仿宋_GB2312" w:eastAsia="仿宋_GB2312"/>
                <w:sz w:val="28"/>
                <w:szCs w:val="28"/>
              </w:rPr>
              <w:t>进修期限</w:t>
            </w:r>
          </w:p>
        </w:tc>
        <w:tc>
          <w:tcPr>
            <w:tcW w:w="2694" w:type="dxa"/>
          </w:tcPr>
          <w:p w14:paraId="7D84234C">
            <w:pPr>
              <w:spacing w:line="360" w:lineRule="auto"/>
              <w:rPr>
                <w:rFonts w:ascii="仿宋_GB2312" w:eastAsia="仿宋_GB2312"/>
                <w:sz w:val="28"/>
                <w:szCs w:val="28"/>
              </w:rPr>
            </w:pPr>
            <w:r>
              <w:rPr>
                <w:rFonts w:hint="eastAsia" w:ascii="仿宋_GB2312" w:eastAsia="仿宋_GB2312"/>
                <w:sz w:val="28"/>
                <w:szCs w:val="28"/>
              </w:rPr>
              <w:t>每一年度招录人数</w:t>
            </w:r>
          </w:p>
        </w:tc>
      </w:tr>
      <w:tr w14:paraId="2A87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9" w:type="dxa"/>
          </w:tcPr>
          <w:p w14:paraId="53B57EFB">
            <w:pPr>
              <w:spacing w:line="360" w:lineRule="auto"/>
              <w:rPr>
                <w:rFonts w:ascii="仿宋_GB2312" w:eastAsia="仿宋_GB2312"/>
                <w:sz w:val="28"/>
                <w:szCs w:val="28"/>
              </w:rPr>
            </w:pPr>
            <w:r>
              <w:rPr>
                <w:rFonts w:hint="eastAsia" w:ascii="仿宋_GB2312" w:eastAsia="仿宋_GB2312"/>
                <w:sz w:val="28"/>
                <w:szCs w:val="28"/>
              </w:rPr>
              <w:t>耳科、鼻科、咽喉科、头颈外科</w:t>
            </w:r>
          </w:p>
        </w:tc>
        <w:tc>
          <w:tcPr>
            <w:tcW w:w="2699" w:type="dxa"/>
          </w:tcPr>
          <w:p w14:paraId="6F592011">
            <w:pPr>
              <w:spacing w:line="360" w:lineRule="auto"/>
              <w:rPr>
                <w:rFonts w:ascii="仿宋_GB2312" w:eastAsia="仿宋_GB2312"/>
                <w:sz w:val="28"/>
                <w:szCs w:val="28"/>
              </w:rPr>
            </w:pPr>
            <w:r>
              <w:rPr>
                <w:rFonts w:hint="eastAsia" w:ascii="仿宋_GB2312" w:eastAsia="仿宋_GB2312"/>
                <w:sz w:val="28"/>
                <w:szCs w:val="28"/>
              </w:rPr>
              <w:t>6月、12月</w:t>
            </w:r>
          </w:p>
        </w:tc>
        <w:tc>
          <w:tcPr>
            <w:tcW w:w="2694" w:type="dxa"/>
            <w:vMerge w:val="restart"/>
          </w:tcPr>
          <w:p w14:paraId="300E7437">
            <w:pPr>
              <w:spacing w:line="360" w:lineRule="auto"/>
              <w:rPr>
                <w:rFonts w:ascii="仿宋_GB2312" w:eastAsia="仿宋_GB2312"/>
                <w:sz w:val="28"/>
                <w:szCs w:val="28"/>
              </w:rPr>
            </w:pPr>
            <w:r>
              <w:rPr>
                <w:rFonts w:hint="eastAsia" w:ascii="仿宋_GB2312" w:eastAsia="仿宋_GB2312"/>
                <w:sz w:val="28"/>
                <w:szCs w:val="28"/>
              </w:rPr>
              <w:t>计划招收15-20人</w:t>
            </w:r>
          </w:p>
        </w:tc>
      </w:tr>
      <w:tr w14:paraId="768D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709" w:type="dxa"/>
          </w:tcPr>
          <w:p w14:paraId="27DD4456">
            <w:pPr>
              <w:spacing w:line="360" w:lineRule="auto"/>
              <w:rPr>
                <w:rFonts w:ascii="仿宋_GB2312" w:eastAsia="仿宋_GB2312"/>
                <w:sz w:val="28"/>
                <w:szCs w:val="28"/>
              </w:rPr>
            </w:pPr>
            <w:r>
              <w:rPr>
                <w:rFonts w:hint="eastAsia" w:ascii="仿宋_GB2312" w:eastAsia="仿宋_GB2312"/>
                <w:sz w:val="28"/>
                <w:szCs w:val="28"/>
              </w:rPr>
              <w:t>听力与言语康复</w:t>
            </w:r>
          </w:p>
        </w:tc>
        <w:tc>
          <w:tcPr>
            <w:tcW w:w="2699" w:type="dxa"/>
          </w:tcPr>
          <w:p w14:paraId="624CFBE2">
            <w:pPr>
              <w:spacing w:line="360" w:lineRule="auto"/>
              <w:rPr>
                <w:rFonts w:ascii="仿宋_GB2312" w:eastAsia="仿宋_GB2312"/>
                <w:sz w:val="28"/>
                <w:szCs w:val="28"/>
              </w:rPr>
            </w:pPr>
            <w:r>
              <w:rPr>
                <w:rFonts w:hint="eastAsia" w:ascii="仿宋_GB2312" w:eastAsia="仿宋_GB2312"/>
                <w:sz w:val="28"/>
                <w:szCs w:val="28"/>
              </w:rPr>
              <w:t>6月、12月</w:t>
            </w:r>
          </w:p>
        </w:tc>
        <w:tc>
          <w:tcPr>
            <w:tcW w:w="2694" w:type="dxa"/>
            <w:vMerge w:val="continue"/>
          </w:tcPr>
          <w:p w14:paraId="3453BA73">
            <w:pPr>
              <w:spacing w:line="360" w:lineRule="auto"/>
              <w:rPr>
                <w:rFonts w:ascii="仿宋_GB2312" w:eastAsia="仿宋_GB2312"/>
                <w:sz w:val="28"/>
                <w:szCs w:val="28"/>
              </w:rPr>
            </w:pPr>
          </w:p>
        </w:tc>
      </w:tr>
      <w:tr w14:paraId="1838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2709" w:type="dxa"/>
          </w:tcPr>
          <w:p w14:paraId="2938026E">
            <w:pPr>
              <w:spacing w:line="360" w:lineRule="auto"/>
              <w:rPr>
                <w:rFonts w:hint="eastAsia" w:ascii="仿宋_GB2312" w:eastAsia="仿宋_GB2312"/>
                <w:sz w:val="28"/>
                <w:szCs w:val="28"/>
                <w:lang w:eastAsia="zh-CN"/>
              </w:rPr>
            </w:pPr>
            <w:r>
              <w:rPr>
                <w:rFonts w:hint="eastAsia" w:ascii="仿宋_GB2312" w:eastAsia="仿宋_GB2312"/>
                <w:sz w:val="28"/>
                <w:szCs w:val="28"/>
              </w:rPr>
              <w:t>前庭</w:t>
            </w:r>
            <w:r>
              <w:rPr>
                <w:rFonts w:hint="eastAsia" w:ascii="仿宋_GB2312" w:eastAsia="仿宋_GB2312"/>
                <w:sz w:val="28"/>
                <w:szCs w:val="28"/>
                <w:lang w:eastAsia="zh-CN"/>
              </w:rPr>
              <w:t>眩晕疾病</w:t>
            </w:r>
          </w:p>
        </w:tc>
        <w:tc>
          <w:tcPr>
            <w:tcW w:w="2699" w:type="dxa"/>
          </w:tcPr>
          <w:p w14:paraId="6CB5C20B">
            <w:pPr>
              <w:spacing w:line="360" w:lineRule="auto"/>
              <w:rPr>
                <w:rFonts w:ascii="仿宋_GB2312" w:eastAsia="仿宋_GB2312"/>
                <w:sz w:val="28"/>
                <w:szCs w:val="28"/>
              </w:rPr>
            </w:pPr>
            <w:r>
              <w:rPr>
                <w:rFonts w:hint="eastAsia" w:ascii="仿宋_GB2312" w:eastAsia="仿宋_GB2312"/>
                <w:sz w:val="28"/>
                <w:szCs w:val="28"/>
              </w:rPr>
              <w:t>6月、12月</w:t>
            </w:r>
          </w:p>
        </w:tc>
        <w:tc>
          <w:tcPr>
            <w:tcW w:w="2694" w:type="dxa"/>
            <w:vMerge w:val="continue"/>
          </w:tcPr>
          <w:p w14:paraId="102FEF6E">
            <w:pPr>
              <w:spacing w:line="360" w:lineRule="auto"/>
              <w:rPr>
                <w:rFonts w:ascii="仿宋_GB2312" w:eastAsia="仿宋_GB2312"/>
                <w:sz w:val="28"/>
                <w:szCs w:val="28"/>
              </w:rPr>
            </w:pPr>
          </w:p>
        </w:tc>
      </w:tr>
      <w:tr w14:paraId="7D49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2709" w:type="dxa"/>
          </w:tcPr>
          <w:p w14:paraId="6E42996D">
            <w:pPr>
              <w:spacing w:line="360" w:lineRule="auto"/>
              <w:rPr>
                <w:rFonts w:hint="eastAsia" w:ascii="仿宋_GB2312" w:eastAsia="仿宋_GB2312"/>
                <w:sz w:val="28"/>
                <w:szCs w:val="28"/>
                <w:lang w:eastAsia="zh-CN"/>
              </w:rPr>
            </w:pPr>
            <w:r>
              <w:rPr>
                <w:rFonts w:hint="eastAsia" w:ascii="仿宋_GB2312" w:eastAsia="仿宋_GB2312"/>
                <w:sz w:val="28"/>
                <w:szCs w:val="28"/>
              </w:rPr>
              <w:t>变态反应</w:t>
            </w:r>
            <w:r>
              <w:rPr>
                <w:rFonts w:hint="eastAsia" w:ascii="仿宋_GB2312" w:eastAsia="仿宋_GB2312"/>
                <w:sz w:val="28"/>
                <w:szCs w:val="28"/>
                <w:lang w:eastAsia="zh-CN"/>
              </w:rPr>
              <w:t>疾病</w:t>
            </w:r>
          </w:p>
        </w:tc>
        <w:tc>
          <w:tcPr>
            <w:tcW w:w="2699" w:type="dxa"/>
          </w:tcPr>
          <w:p w14:paraId="57CF147B">
            <w:pPr>
              <w:spacing w:line="360" w:lineRule="auto"/>
              <w:rPr>
                <w:rFonts w:ascii="仿宋_GB2312" w:eastAsia="仿宋_GB2312"/>
                <w:sz w:val="28"/>
                <w:szCs w:val="28"/>
              </w:rPr>
            </w:pPr>
            <w:r>
              <w:rPr>
                <w:rFonts w:hint="eastAsia" w:ascii="仿宋_GB2312" w:eastAsia="仿宋_GB2312"/>
                <w:sz w:val="28"/>
                <w:szCs w:val="28"/>
              </w:rPr>
              <w:t>3月、6月、12月</w:t>
            </w:r>
          </w:p>
        </w:tc>
        <w:tc>
          <w:tcPr>
            <w:tcW w:w="2694" w:type="dxa"/>
            <w:vMerge w:val="continue"/>
          </w:tcPr>
          <w:p w14:paraId="4219F350">
            <w:pPr>
              <w:spacing w:line="360" w:lineRule="auto"/>
              <w:rPr>
                <w:rFonts w:ascii="仿宋_GB2312" w:eastAsia="仿宋_GB2312"/>
                <w:sz w:val="28"/>
                <w:szCs w:val="28"/>
              </w:rPr>
            </w:pPr>
          </w:p>
        </w:tc>
      </w:tr>
      <w:tr w14:paraId="00C2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709" w:type="dxa"/>
          </w:tcPr>
          <w:p w14:paraId="53903BB6">
            <w:pPr>
              <w:spacing w:line="360" w:lineRule="auto"/>
              <w:rPr>
                <w:rFonts w:hint="eastAsia" w:ascii="仿宋_GB2312" w:eastAsia="仿宋_GB2312"/>
                <w:sz w:val="28"/>
                <w:szCs w:val="28"/>
                <w:lang w:eastAsia="zh-CN"/>
              </w:rPr>
            </w:pPr>
            <w:r>
              <w:rPr>
                <w:rFonts w:hint="eastAsia" w:ascii="仿宋_GB2312" w:eastAsia="仿宋_GB2312"/>
                <w:sz w:val="28"/>
                <w:szCs w:val="28"/>
              </w:rPr>
              <w:t>耳鼻喉内镜</w:t>
            </w:r>
            <w:r>
              <w:rPr>
                <w:rFonts w:hint="eastAsia" w:ascii="仿宋_GB2312" w:eastAsia="仿宋_GB2312"/>
                <w:sz w:val="28"/>
                <w:szCs w:val="28"/>
                <w:lang w:eastAsia="zh-CN"/>
              </w:rPr>
              <w:t>检查</w:t>
            </w:r>
          </w:p>
        </w:tc>
        <w:tc>
          <w:tcPr>
            <w:tcW w:w="2699" w:type="dxa"/>
          </w:tcPr>
          <w:p w14:paraId="4D64AA56">
            <w:pPr>
              <w:spacing w:line="360" w:lineRule="auto"/>
              <w:rPr>
                <w:rFonts w:ascii="仿宋_GB2312" w:eastAsia="仿宋_GB2312"/>
                <w:sz w:val="28"/>
                <w:szCs w:val="28"/>
              </w:rPr>
            </w:pPr>
            <w:r>
              <w:rPr>
                <w:rFonts w:hint="eastAsia" w:ascii="仿宋_GB2312" w:eastAsia="仿宋_GB2312"/>
                <w:sz w:val="28"/>
                <w:szCs w:val="28"/>
              </w:rPr>
              <w:t>3月、6月、12月</w:t>
            </w:r>
          </w:p>
        </w:tc>
        <w:tc>
          <w:tcPr>
            <w:tcW w:w="2694" w:type="dxa"/>
            <w:vMerge w:val="continue"/>
          </w:tcPr>
          <w:p w14:paraId="73FA7B1E">
            <w:pPr>
              <w:spacing w:line="360" w:lineRule="auto"/>
              <w:rPr>
                <w:rFonts w:ascii="仿宋_GB2312" w:eastAsia="仿宋_GB2312"/>
                <w:sz w:val="28"/>
                <w:szCs w:val="28"/>
              </w:rPr>
            </w:pPr>
          </w:p>
        </w:tc>
      </w:tr>
    </w:tbl>
    <w:p w14:paraId="0286713F">
      <w:pPr>
        <w:spacing w:line="360" w:lineRule="auto"/>
        <w:rPr>
          <w:rFonts w:ascii="仿宋_GB2312" w:eastAsia="仿宋_GB2312"/>
          <w:sz w:val="28"/>
          <w:szCs w:val="28"/>
        </w:rPr>
      </w:pPr>
    </w:p>
    <w:p w14:paraId="372C659F">
      <w:pPr>
        <w:pStyle w:val="9"/>
        <w:numPr>
          <w:ilvl w:val="0"/>
          <w:numId w:val="1"/>
        </w:numPr>
        <w:spacing w:line="360" w:lineRule="auto"/>
        <w:ind w:firstLineChars="0"/>
        <w:rPr>
          <w:rFonts w:ascii="仿宋_GB2312" w:eastAsia="仿宋_GB2312"/>
          <w:sz w:val="28"/>
          <w:szCs w:val="28"/>
        </w:rPr>
      </w:pPr>
      <w:r>
        <w:rPr>
          <w:rFonts w:hint="eastAsia" w:ascii="仿宋_GB2312" w:eastAsia="仿宋_GB2312"/>
          <w:sz w:val="28"/>
          <w:szCs w:val="28"/>
        </w:rPr>
        <w:t>培养方案</w:t>
      </w:r>
    </w:p>
    <w:p w14:paraId="653F04AB">
      <w:pPr>
        <w:pStyle w:val="9"/>
        <w:numPr>
          <w:ilvl w:val="0"/>
          <w:numId w:val="4"/>
        </w:numPr>
        <w:spacing w:line="360" w:lineRule="auto"/>
        <w:ind w:left="0" w:firstLine="0" w:firstLineChars="0"/>
        <w:rPr>
          <w:rFonts w:ascii="仿宋_GB2312" w:eastAsia="仿宋_GB2312"/>
          <w:color w:val="000000" w:themeColor="text1"/>
          <w:sz w:val="28"/>
          <w:szCs w:val="28"/>
        </w:rPr>
      </w:pPr>
      <w:r>
        <w:rPr>
          <w:rFonts w:hint="eastAsia" w:ascii="仿宋_GB2312" w:eastAsia="仿宋_GB2312"/>
          <w:color w:val="000000" w:themeColor="text1"/>
          <w:sz w:val="28"/>
          <w:szCs w:val="28"/>
        </w:rPr>
        <w:t>学习内容</w:t>
      </w:r>
    </w:p>
    <w:p w14:paraId="56DD86A7">
      <w:pPr>
        <w:pStyle w:val="9"/>
        <w:numPr>
          <w:ilvl w:val="0"/>
          <w:numId w:val="5"/>
        </w:numPr>
        <w:spacing w:line="360" w:lineRule="auto"/>
        <w:ind w:left="0" w:firstLine="0" w:firstLineChars="0"/>
        <w:rPr>
          <w:rFonts w:ascii="仿宋_GB2312" w:eastAsia="仿宋_GB2312"/>
          <w:color w:val="000000" w:themeColor="text1"/>
          <w:sz w:val="28"/>
          <w:szCs w:val="28"/>
        </w:rPr>
      </w:pPr>
      <w:r>
        <w:rPr>
          <w:rFonts w:hint="eastAsia" w:ascii="仿宋_GB2312" w:eastAsia="仿宋_GB2312"/>
          <w:color w:val="000000" w:themeColor="text1"/>
          <w:sz w:val="28"/>
          <w:szCs w:val="28"/>
        </w:rPr>
        <w:t>轮转工作安排：原则上耳科（人工耳蜗植入）、鼻科、咽喉科（鼾症）、头颈外科或听力中心（前庭功能检查）各亚专科各3个月。</w:t>
      </w:r>
    </w:p>
    <w:p w14:paraId="119637B5">
      <w:pPr>
        <w:pStyle w:val="9"/>
        <w:numPr>
          <w:ilvl w:val="0"/>
          <w:numId w:val="5"/>
        </w:numPr>
        <w:tabs>
          <w:tab w:val="left" w:pos="720"/>
        </w:tabs>
        <w:spacing w:line="360" w:lineRule="auto"/>
        <w:ind w:left="0" w:firstLine="0" w:firstLineChars="0"/>
        <w:rPr>
          <w:rFonts w:ascii="仿宋_GB2312" w:eastAsia="仿宋_GB2312"/>
          <w:color w:val="000000" w:themeColor="text1"/>
          <w:sz w:val="28"/>
          <w:szCs w:val="28"/>
        </w:rPr>
      </w:pPr>
      <w:r>
        <w:rPr>
          <w:rFonts w:hint="eastAsia" w:ascii="仿宋_GB2312" w:eastAsia="仿宋_GB2312"/>
          <w:color w:val="000000" w:themeColor="text1"/>
          <w:sz w:val="28"/>
          <w:szCs w:val="28"/>
        </w:rPr>
        <w:t>工作职责：积极参与病人管理，包括患者病例书写、围手术期管理、协助医疗组长完成手术、协助完成内镜工作、参与病房一线及急诊值班。必须严格遵守科室的劳动纪律，严格按照规范的医疗规章制度从事临床工作。临床工作中严格遵守逐级请示制度，在医疗过程中保持和蔼的态度对待患者。</w:t>
      </w:r>
    </w:p>
    <w:p w14:paraId="20E59EBC">
      <w:pPr>
        <w:pStyle w:val="9"/>
        <w:numPr>
          <w:ilvl w:val="0"/>
          <w:numId w:val="5"/>
        </w:numPr>
        <w:tabs>
          <w:tab w:val="left" w:pos="720"/>
        </w:tabs>
        <w:spacing w:line="360" w:lineRule="auto"/>
        <w:ind w:left="0" w:firstLine="0" w:firstLineChars="0"/>
        <w:rPr>
          <w:rFonts w:ascii="仿宋_GB2312" w:eastAsia="仿宋_GB2312"/>
          <w:color w:val="000000" w:themeColor="text1"/>
          <w:sz w:val="28"/>
          <w:szCs w:val="28"/>
        </w:rPr>
      </w:pPr>
      <w:r>
        <w:rPr>
          <w:rFonts w:hint="eastAsia" w:ascii="仿宋_GB2312" w:eastAsia="仿宋_GB2312"/>
          <w:color w:val="000000" w:themeColor="text1"/>
          <w:sz w:val="28"/>
          <w:szCs w:val="28"/>
        </w:rPr>
        <w:t>临床科研学习：积极参加科室的各种临床讲课、读书报告、病例讨论、教学查房等，并作为主讲人参与读书报告。</w:t>
      </w:r>
    </w:p>
    <w:p w14:paraId="62C4BFC1">
      <w:pPr>
        <w:pStyle w:val="9"/>
        <w:numPr>
          <w:ilvl w:val="0"/>
          <w:numId w:val="4"/>
        </w:numPr>
        <w:spacing w:line="360" w:lineRule="auto"/>
        <w:ind w:left="0" w:firstLine="0" w:firstLineChars="0"/>
        <w:rPr>
          <w:rFonts w:ascii="仿宋_GB2312" w:eastAsia="仿宋_GB2312"/>
          <w:color w:val="000000" w:themeColor="text1"/>
          <w:sz w:val="28"/>
          <w:szCs w:val="28"/>
        </w:rPr>
      </w:pPr>
      <w:r>
        <w:rPr>
          <w:rFonts w:hint="eastAsia" w:ascii="仿宋_GB2312" w:eastAsia="仿宋_GB2312"/>
          <w:color w:val="000000" w:themeColor="text1"/>
          <w:sz w:val="28"/>
          <w:szCs w:val="28"/>
        </w:rPr>
        <w:t>带教方式</w:t>
      </w:r>
    </w:p>
    <w:p w14:paraId="1430020F">
      <w:pPr>
        <w:pStyle w:val="9"/>
        <w:spacing w:line="360" w:lineRule="auto"/>
        <w:ind w:firstLine="495" w:firstLineChars="177"/>
        <w:rPr>
          <w:rFonts w:ascii="仿宋_GB2312" w:eastAsia="仿宋_GB2312"/>
          <w:color w:val="000000" w:themeColor="text1"/>
          <w:sz w:val="28"/>
          <w:szCs w:val="28"/>
        </w:rPr>
      </w:pPr>
      <w:r>
        <w:rPr>
          <w:rFonts w:hint="eastAsia" w:ascii="仿宋_GB2312" w:eastAsia="仿宋_GB2312"/>
          <w:color w:val="000000" w:themeColor="text1"/>
          <w:sz w:val="28"/>
          <w:szCs w:val="28"/>
        </w:rPr>
        <w:t>病房及门急诊轮转学习、专题讲座学习、学科及专业交叉查房学习、疑难病案分析讨论学习、手术观摩操作及临床科研学习等。</w:t>
      </w:r>
    </w:p>
    <w:p w14:paraId="2325DF41">
      <w:pPr>
        <w:pStyle w:val="9"/>
        <w:numPr>
          <w:ilvl w:val="0"/>
          <w:numId w:val="4"/>
        </w:numPr>
        <w:spacing w:line="360" w:lineRule="auto"/>
        <w:ind w:left="0" w:firstLine="0" w:firstLineChars="0"/>
        <w:rPr>
          <w:rFonts w:ascii="仿宋_GB2312" w:eastAsia="仿宋_GB2312"/>
          <w:color w:val="000000" w:themeColor="text1"/>
          <w:sz w:val="28"/>
          <w:szCs w:val="28"/>
        </w:rPr>
      </w:pPr>
      <w:r>
        <w:rPr>
          <w:rFonts w:hint="eastAsia" w:ascii="仿宋_GB2312" w:eastAsia="仿宋_GB2312"/>
          <w:color w:val="000000" w:themeColor="text1"/>
          <w:sz w:val="28"/>
          <w:szCs w:val="28"/>
        </w:rPr>
        <w:t>结业考核方式</w:t>
      </w:r>
    </w:p>
    <w:p w14:paraId="6B99DDDF">
      <w:pPr>
        <w:pStyle w:val="9"/>
        <w:spacing w:line="360" w:lineRule="auto"/>
        <w:ind w:firstLine="495" w:firstLineChars="177"/>
        <w:rPr>
          <w:rFonts w:ascii="仿宋_GB2312" w:eastAsia="仿宋_GB2312"/>
          <w:color w:val="000000" w:themeColor="text1"/>
          <w:sz w:val="28"/>
          <w:szCs w:val="28"/>
        </w:rPr>
      </w:pPr>
      <w:r>
        <w:rPr>
          <w:rFonts w:hint="eastAsia" w:ascii="仿宋_GB2312" w:eastAsia="仿宋_GB2312"/>
          <w:color w:val="000000" w:themeColor="text1"/>
          <w:sz w:val="28"/>
          <w:szCs w:val="28"/>
        </w:rPr>
        <w:t>病房门诊学习收治病人数及带组老师评分占30%；临床操作考核30%；结业考试笔试占40%。总分不及格则进修不合格。</w:t>
      </w:r>
    </w:p>
    <w:p w14:paraId="1B76EDAE">
      <w:pPr>
        <w:pStyle w:val="9"/>
        <w:numPr>
          <w:ilvl w:val="0"/>
          <w:numId w:val="4"/>
        </w:numPr>
        <w:spacing w:line="360" w:lineRule="auto"/>
        <w:ind w:left="0" w:firstLine="0" w:firstLineChars="0"/>
        <w:rPr>
          <w:rFonts w:ascii="仿宋_GB2312" w:eastAsia="仿宋_GB2312"/>
          <w:color w:val="000000" w:themeColor="text1"/>
          <w:sz w:val="28"/>
          <w:szCs w:val="28"/>
        </w:rPr>
      </w:pPr>
      <w:r>
        <w:rPr>
          <w:rFonts w:hint="eastAsia" w:ascii="仿宋_GB2312" w:eastAsia="仿宋_GB2312"/>
          <w:color w:val="000000" w:themeColor="text1"/>
          <w:sz w:val="28"/>
          <w:szCs w:val="28"/>
        </w:rPr>
        <w:t>进修结业</w:t>
      </w:r>
      <w:r>
        <w:rPr>
          <w:rFonts w:hint="eastAsia" w:ascii="仿宋_GB2312" w:eastAsia="仿宋_GB2312"/>
          <w:sz w:val="28"/>
          <w:szCs w:val="28"/>
        </w:rPr>
        <w:t>应达到的水平</w:t>
      </w:r>
    </w:p>
    <w:p w14:paraId="5FF62F7B">
      <w:pPr>
        <w:pStyle w:val="9"/>
        <w:spacing w:line="360" w:lineRule="auto"/>
        <w:ind w:firstLine="495" w:firstLineChars="177"/>
        <w:rPr>
          <w:rFonts w:ascii="仿宋_GB2312" w:eastAsia="仿宋_GB2312"/>
          <w:color w:val="000000" w:themeColor="text1"/>
          <w:sz w:val="28"/>
          <w:szCs w:val="28"/>
        </w:rPr>
      </w:pPr>
      <w:r>
        <w:rPr>
          <w:rFonts w:hint="eastAsia" w:ascii="仿宋_GB2312" w:eastAsia="仿宋_GB2312"/>
          <w:sz w:val="28"/>
          <w:szCs w:val="28"/>
        </w:rPr>
        <w:t>熟练掌握耳鼻咽喉头颈外科常见疾病的诊治及常规手术操作，充分了解掌握相关危急重症处理原则及手术操作。熟练操作各种耳鼻咽喉内镜且掌握内镜下各种有创操作，熟练掌握耳鼻咽喉头颈外科各类检查及结果的判读。充分了解掌握耳鼻咽喉头颈外科各项护理基础知识及常规操作。</w:t>
      </w:r>
    </w:p>
    <w:p w14:paraId="59598B5E">
      <w:pPr>
        <w:pStyle w:val="9"/>
        <w:spacing w:line="360" w:lineRule="auto"/>
        <w:ind w:left="420" w:firstLine="0" w:firstLineChars="0"/>
        <w:rPr>
          <w:rFonts w:ascii="仿宋_GB2312" w:eastAsia="仿宋_GB2312"/>
          <w:sz w:val="28"/>
          <w:szCs w:val="28"/>
        </w:rPr>
      </w:pPr>
    </w:p>
    <w:p w14:paraId="296C87F8">
      <w:pPr>
        <w:pStyle w:val="9"/>
        <w:spacing w:line="360" w:lineRule="auto"/>
        <w:ind w:left="420" w:firstLine="0" w:firstLineChars="0"/>
        <w:rPr>
          <w:rFonts w:ascii="仿宋_GB2312" w:eastAsia="仿宋_GB2312"/>
          <w:sz w:val="28"/>
          <w:szCs w:val="28"/>
        </w:rPr>
      </w:pPr>
      <w:r>
        <w:rPr>
          <w:rFonts w:ascii="仿宋_GB2312" w:eastAsia="仿宋_GB2312"/>
          <w:sz w:val="28"/>
          <w:szCs w:val="28"/>
        </w:rPr>
        <w:br w:type="page"/>
      </w:r>
    </w:p>
    <w:p w14:paraId="57EEFEEB">
      <w:pPr>
        <w:pStyle w:val="9"/>
        <w:spacing w:line="360" w:lineRule="auto"/>
        <w:ind w:left="420" w:firstLine="0" w:firstLineChars="0"/>
        <w:rPr>
          <w:rFonts w:ascii="仿宋_GB2312" w:eastAsia="仿宋_GB2312"/>
          <w:sz w:val="28"/>
          <w:szCs w:val="28"/>
        </w:rPr>
      </w:pPr>
      <w:r>
        <w:rPr>
          <w:rFonts w:hint="eastAsia" w:ascii="仿宋_GB2312" w:eastAsia="仿宋_GB2312"/>
          <w:sz w:val="28"/>
          <w:szCs w:val="28"/>
        </w:rPr>
        <w:t>附：各进修专业培养方案</w:t>
      </w:r>
    </w:p>
    <w:tbl>
      <w:tblPr>
        <w:tblStyle w:val="4"/>
        <w:tblW w:w="907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936"/>
        <w:gridCol w:w="2896"/>
        <w:gridCol w:w="1418"/>
        <w:gridCol w:w="1417"/>
        <w:gridCol w:w="1701"/>
      </w:tblGrid>
      <w:tr w14:paraId="396F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shd w:val="clear" w:color="auto" w:fill="auto"/>
          </w:tcPr>
          <w:p w14:paraId="700BED3E">
            <w:pPr>
              <w:jc w:val="center"/>
              <w:rPr>
                <w:rFonts w:ascii="仿宋" w:hAnsi="仿宋" w:eastAsia="仿宋"/>
                <w:b/>
                <w:sz w:val="24"/>
                <w:szCs w:val="28"/>
              </w:rPr>
            </w:pPr>
            <w:r>
              <w:rPr>
                <w:rFonts w:hint="eastAsia" w:ascii="仿宋" w:hAnsi="仿宋" w:eastAsia="仿宋"/>
                <w:b/>
                <w:sz w:val="24"/>
                <w:szCs w:val="28"/>
              </w:rPr>
              <w:t>进修</w:t>
            </w:r>
          </w:p>
          <w:p w14:paraId="1C8497EF">
            <w:pPr>
              <w:jc w:val="center"/>
              <w:rPr>
                <w:rFonts w:ascii="仿宋" w:hAnsi="仿宋" w:eastAsia="仿宋"/>
                <w:b/>
                <w:sz w:val="24"/>
                <w:szCs w:val="28"/>
              </w:rPr>
            </w:pPr>
            <w:r>
              <w:rPr>
                <w:rFonts w:hint="eastAsia" w:ascii="仿宋" w:hAnsi="仿宋" w:eastAsia="仿宋"/>
                <w:b/>
                <w:sz w:val="24"/>
                <w:szCs w:val="28"/>
              </w:rPr>
              <w:t>专业</w:t>
            </w:r>
          </w:p>
        </w:tc>
        <w:tc>
          <w:tcPr>
            <w:tcW w:w="936" w:type="dxa"/>
          </w:tcPr>
          <w:p w14:paraId="3E29B209">
            <w:pPr>
              <w:jc w:val="center"/>
              <w:rPr>
                <w:rFonts w:ascii="仿宋" w:hAnsi="仿宋" w:eastAsia="仿宋"/>
                <w:b/>
                <w:sz w:val="24"/>
                <w:szCs w:val="28"/>
              </w:rPr>
            </w:pPr>
            <w:r>
              <w:rPr>
                <w:rFonts w:hint="eastAsia" w:ascii="仿宋" w:hAnsi="仿宋" w:eastAsia="仿宋"/>
                <w:b/>
                <w:sz w:val="24"/>
                <w:szCs w:val="28"/>
              </w:rPr>
              <w:t>学习时间</w:t>
            </w:r>
          </w:p>
        </w:tc>
        <w:tc>
          <w:tcPr>
            <w:tcW w:w="2896" w:type="dxa"/>
            <w:shd w:val="clear" w:color="auto" w:fill="auto"/>
          </w:tcPr>
          <w:p w14:paraId="3AF2130C">
            <w:pPr>
              <w:jc w:val="center"/>
              <w:rPr>
                <w:rFonts w:ascii="仿宋" w:hAnsi="仿宋" w:eastAsia="仿宋"/>
                <w:b/>
                <w:sz w:val="24"/>
                <w:szCs w:val="28"/>
              </w:rPr>
            </w:pPr>
            <w:r>
              <w:rPr>
                <w:rFonts w:hint="eastAsia" w:ascii="仿宋" w:hAnsi="仿宋" w:eastAsia="仿宋"/>
                <w:b/>
                <w:sz w:val="24"/>
                <w:szCs w:val="28"/>
              </w:rPr>
              <w:t>学习</w:t>
            </w:r>
          </w:p>
          <w:p w14:paraId="07221455">
            <w:pPr>
              <w:jc w:val="center"/>
              <w:rPr>
                <w:rFonts w:ascii="仿宋" w:hAnsi="仿宋" w:eastAsia="仿宋"/>
                <w:b/>
                <w:sz w:val="24"/>
                <w:szCs w:val="28"/>
              </w:rPr>
            </w:pPr>
            <w:r>
              <w:rPr>
                <w:rFonts w:hint="eastAsia" w:ascii="仿宋" w:hAnsi="仿宋" w:eastAsia="仿宋"/>
                <w:b/>
                <w:sz w:val="24"/>
                <w:szCs w:val="28"/>
              </w:rPr>
              <w:t>内容</w:t>
            </w:r>
          </w:p>
        </w:tc>
        <w:tc>
          <w:tcPr>
            <w:tcW w:w="1418" w:type="dxa"/>
            <w:shd w:val="clear" w:color="auto" w:fill="auto"/>
          </w:tcPr>
          <w:p w14:paraId="6FA27EF6">
            <w:pPr>
              <w:jc w:val="center"/>
              <w:rPr>
                <w:rFonts w:ascii="仿宋" w:hAnsi="仿宋" w:eastAsia="仿宋"/>
                <w:b/>
                <w:sz w:val="24"/>
                <w:szCs w:val="28"/>
              </w:rPr>
            </w:pPr>
            <w:r>
              <w:rPr>
                <w:rFonts w:hint="eastAsia" w:ascii="仿宋" w:hAnsi="仿宋" w:eastAsia="仿宋"/>
                <w:b/>
                <w:sz w:val="24"/>
                <w:szCs w:val="28"/>
              </w:rPr>
              <w:t>带教</w:t>
            </w:r>
          </w:p>
          <w:p w14:paraId="21DFA77A">
            <w:pPr>
              <w:jc w:val="center"/>
              <w:rPr>
                <w:rFonts w:ascii="仿宋" w:hAnsi="仿宋" w:eastAsia="仿宋"/>
                <w:b/>
                <w:sz w:val="24"/>
                <w:szCs w:val="28"/>
              </w:rPr>
            </w:pPr>
            <w:r>
              <w:rPr>
                <w:rFonts w:hint="eastAsia" w:ascii="仿宋" w:hAnsi="仿宋" w:eastAsia="仿宋"/>
                <w:b/>
                <w:sz w:val="24"/>
                <w:szCs w:val="28"/>
              </w:rPr>
              <w:t>方法</w:t>
            </w:r>
          </w:p>
        </w:tc>
        <w:tc>
          <w:tcPr>
            <w:tcW w:w="1417" w:type="dxa"/>
            <w:shd w:val="clear" w:color="auto" w:fill="auto"/>
          </w:tcPr>
          <w:p w14:paraId="20D0A7DB">
            <w:pPr>
              <w:jc w:val="center"/>
              <w:rPr>
                <w:rFonts w:ascii="仿宋" w:hAnsi="仿宋" w:eastAsia="仿宋"/>
                <w:b/>
                <w:sz w:val="24"/>
                <w:szCs w:val="28"/>
              </w:rPr>
            </w:pPr>
            <w:r>
              <w:rPr>
                <w:rFonts w:hint="eastAsia" w:ascii="仿宋" w:hAnsi="仿宋" w:eastAsia="仿宋"/>
                <w:b/>
                <w:sz w:val="24"/>
                <w:szCs w:val="28"/>
              </w:rPr>
              <w:t>结业考核</w:t>
            </w:r>
          </w:p>
          <w:p w14:paraId="4ACEAAA4">
            <w:pPr>
              <w:jc w:val="center"/>
              <w:rPr>
                <w:rFonts w:ascii="仿宋" w:hAnsi="仿宋" w:eastAsia="仿宋"/>
                <w:b/>
                <w:sz w:val="24"/>
                <w:szCs w:val="28"/>
              </w:rPr>
            </w:pPr>
            <w:r>
              <w:rPr>
                <w:rFonts w:hint="eastAsia" w:ascii="仿宋" w:hAnsi="仿宋" w:eastAsia="仿宋"/>
                <w:b/>
                <w:sz w:val="24"/>
                <w:szCs w:val="28"/>
              </w:rPr>
              <w:t>方式</w:t>
            </w:r>
          </w:p>
        </w:tc>
        <w:tc>
          <w:tcPr>
            <w:tcW w:w="1701" w:type="dxa"/>
            <w:shd w:val="clear" w:color="auto" w:fill="auto"/>
          </w:tcPr>
          <w:p w14:paraId="72843B14">
            <w:pPr>
              <w:jc w:val="center"/>
              <w:rPr>
                <w:rFonts w:ascii="仿宋" w:hAnsi="仿宋" w:eastAsia="仿宋"/>
                <w:b/>
                <w:sz w:val="24"/>
                <w:szCs w:val="28"/>
              </w:rPr>
            </w:pPr>
            <w:r>
              <w:rPr>
                <w:rFonts w:hint="eastAsia" w:ascii="仿宋" w:hAnsi="仿宋" w:eastAsia="仿宋"/>
                <w:b/>
                <w:sz w:val="24"/>
                <w:szCs w:val="28"/>
              </w:rPr>
              <w:t>进修学习后</w:t>
            </w:r>
          </w:p>
          <w:p w14:paraId="2DBEFDB9">
            <w:pPr>
              <w:jc w:val="center"/>
              <w:rPr>
                <w:rFonts w:ascii="仿宋" w:hAnsi="仿宋" w:eastAsia="仿宋"/>
                <w:b/>
                <w:sz w:val="24"/>
                <w:szCs w:val="28"/>
              </w:rPr>
            </w:pPr>
            <w:r>
              <w:rPr>
                <w:rFonts w:hint="eastAsia" w:ascii="仿宋" w:hAnsi="仿宋" w:eastAsia="仿宋"/>
                <w:b/>
                <w:sz w:val="24"/>
                <w:szCs w:val="28"/>
              </w:rPr>
              <w:t>应达到的水平</w:t>
            </w:r>
          </w:p>
        </w:tc>
      </w:tr>
      <w:tr w14:paraId="33CAE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05" w:type="dxa"/>
            <w:shd w:val="clear" w:color="auto" w:fill="auto"/>
            <w:vAlign w:val="center"/>
          </w:tcPr>
          <w:p w14:paraId="6A9C0E6D">
            <w:pPr>
              <w:jc w:val="center"/>
              <w:rPr>
                <w:rFonts w:ascii="宋体" w:hAnsi="宋体" w:eastAsia="宋体" w:cs="Times New Roman"/>
                <w:sz w:val="24"/>
                <w:szCs w:val="28"/>
              </w:rPr>
            </w:pPr>
            <w:r>
              <w:rPr>
                <w:rFonts w:hint="eastAsia" w:ascii="宋体" w:hAnsi="宋体" w:eastAsia="宋体" w:cs="Times New Roman"/>
                <w:sz w:val="24"/>
                <w:szCs w:val="28"/>
              </w:rPr>
              <w:t>耳</w:t>
            </w:r>
          </w:p>
        </w:tc>
        <w:tc>
          <w:tcPr>
            <w:tcW w:w="936" w:type="dxa"/>
            <w:vAlign w:val="center"/>
          </w:tcPr>
          <w:p w14:paraId="7EBCB799">
            <w:pPr>
              <w:spacing w:line="360" w:lineRule="auto"/>
              <w:jc w:val="left"/>
              <w:rPr>
                <w:rFonts w:ascii="宋体" w:hAnsi="宋体" w:eastAsia="宋体" w:cs="Times New Roman"/>
                <w:sz w:val="24"/>
                <w:szCs w:val="28"/>
              </w:rPr>
            </w:pPr>
            <w:r>
              <w:rPr>
                <w:rFonts w:hint="eastAsia" w:ascii="宋体" w:hAnsi="宋体" w:eastAsia="宋体" w:cs="Times New Roman"/>
                <w:sz w:val="24"/>
                <w:szCs w:val="28"/>
              </w:rPr>
              <w:t>3个月</w:t>
            </w:r>
          </w:p>
        </w:tc>
        <w:tc>
          <w:tcPr>
            <w:tcW w:w="2896" w:type="dxa"/>
            <w:shd w:val="clear" w:color="auto" w:fill="auto"/>
          </w:tcPr>
          <w:p w14:paraId="51453F8C">
            <w:pPr>
              <w:jc w:val="left"/>
              <w:rPr>
                <w:rFonts w:ascii="宋体" w:hAnsi="宋体" w:eastAsia="宋体" w:cs="Times New Roman"/>
                <w:sz w:val="24"/>
                <w:szCs w:val="28"/>
              </w:rPr>
            </w:pPr>
            <w:r>
              <w:rPr>
                <w:rFonts w:hint="eastAsia" w:ascii="宋体" w:hAnsi="宋体" w:eastAsia="宋体" w:cs="Times New Roman"/>
                <w:sz w:val="24"/>
                <w:szCs w:val="28"/>
              </w:rPr>
              <w:t>1.耳科常见病、疑难病的诊治；</w:t>
            </w:r>
          </w:p>
          <w:p w14:paraId="04B40558">
            <w:pPr>
              <w:jc w:val="left"/>
              <w:rPr>
                <w:rFonts w:ascii="宋体" w:hAnsi="宋体" w:eastAsia="宋体" w:cs="Times New Roman"/>
                <w:sz w:val="24"/>
                <w:szCs w:val="28"/>
              </w:rPr>
            </w:pPr>
            <w:r>
              <w:rPr>
                <w:rFonts w:hint="eastAsia" w:ascii="宋体" w:hAnsi="宋体" w:eastAsia="宋体" w:cs="Times New Roman"/>
                <w:sz w:val="24"/>
                <w:szCs w:val="28"/>
              </w:rPr>
              <w:t>2.耳内镜的常规操作；</w:t>
            </w:r>
          </w:p>
          <w:p w14:paraId="11A0E083">
            <w:pPr>
              <w:jc w:val="left"/>
              <w:rPr>
                <w:rFonts w:ascii="宋体" w:hAnsi="宋体" w:eastAsia="宋体" w:cs="Times New Roman"/>
                <w:sz w:val="24"/>
                <w:szCs w:val="28"/>
              </w:rPr>
            </w:pPr>
            <w:r>
              <w:rPr>
                <w:rFonts w:hint="eastAsia" w:ascii="宋体" w:hAnsi="宋体" w:eastAsia="宋体" w:cs="Times New Roman"/>
                <w:sz w:val="24"/>
                <w:szCs w:val="28"/>
              </w:rPr>
              <w:t>3.耳科相关检查结果的阅读及判断，如听力检查结果和颞骨CT阅片；</w:t>
            </w:r>
          </w:p>
          <w:p w14:paraId="7BE20055">
            <w:pPr>
              <w:jc w:val="left"/>
              <w:rPr>
                <w:rFonts w:ascii="宋体" w:hAnsi="宋体" w:eastAsia="宋体" w:cs="Times New Roman"/>
                <w:sz w:val="24"/>
                <w:szCs w:val="28"/>
              </w:rPr>
            </w:pPr>
            <w:r>
              <w:rPr>
                <w:rFonts w:hint="eastAsia" w:ascii="宋体" w:hAnsi="宋体" w:eastAsia="宋体" w:cs="Times New Roman"/>
                <w:sz w:val="24"/>
                <w:szCs w:val="28"/>
              </w:rPr>
              <w:t>4.耳部疾病的各种手术方式；</w:t>
            </w:r>
          </w:p>
        </w:tc>
        <w:tc>
          <w:tcPr>
            <w:tcW w:w="1418" w:type="dxa"/>
            <w:shd w:val="clear" w:color="auto" w:fill="auto"/>
          </w:tcPr>
          <w:p w14:paraId="00CA554C">
            <w:pPr>
              <w:jc w:val="left"/>
              <w:rPr>
                <w:rFonts w:ascii="宋体" w:hAnsi="宋体" w:eastAsia="宋体" w:cs="Times New Roman"/>
                <w:sz w:val="24"/>
                <w:szCs w:val="28"/>
              </w:rPr>
            </w:pPr>
            <w:r>
              <w:rPr>
                <w:rFonts w:hint="eastAsia" w:ascii="宋体" w:hAnsi="宋体" w:eastAsia="宋体" w:cs="Times New Roman"/>
                <w:sz w:val="24"/>
                <w:szCs w:val="28"/>
              </w:rPr>
              <w:t>跟组，</w:t>
            </w:r>
          </w:p>
          <w:p w14:paraId="00F55697">
            <w:pPr>
              <w:jc w:val="left"/>
              <w:rPr>
                <w:rFonts w:ascii="宋体" w:hAnsi="宋体" w:eastAsia="宋体" w:cs="Times New Roman"/>
                <w:sz w:val="24"/>
                <w:szCs w:val="28"/>
              </w:rPr>
            </w:pPr>
            <w:r>
              <w:rPr>
                <w:rFonts w:hint="eastAsia" w:ascii="宋体" w:hAnsi="宋体" w:eastAsia="宋体" w:cs="Times New Roman"/>
                <w:sz w:val="24"/>
                <w:szCs w:val="28"/>
              </w:rPr>
              <w:t>自管病床，</w:t>
            </w:r>
          </w:p>
          <w:p w14:paraId="37CB7C4E">
            <w:pPr>
              <w:jc w:val="left"/>
              <w:rPr>
                <w:rFonts w:ascii="宋体" w:hAnsi="宋体" w:eastAsia="宋体" w:cs="Times New Roman"/>
                <w:sz w:val="24"/>
                <w:szCs w:val="28"/>
              </w:rPr>
            </w:pPr>
            <w:r>
              <w:rPr>
                <w:rFonts w:hint="eastAsia" w:ascii="宋体" w:hAnsi="宋体" w:eastAsia="宋体" w:cs="Times New Roman"/>
                <w:sz w:val="24"/>
                <w:szCs w:val="28"/>
              </w:rPr>
              <w:t>参加门诊，</w:t>
            </w:r>
          </w:p>
          <w:p w14:paraId="4CDD647F">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14:paraId="222FDADA">
            <w:pPr>
              <w:jc w:val="left"/>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14:paraId="3343A6B0">
            <w:pPr>
              <w:jc w:val="left"/>
              <w:rPr>
                <w:rFonts w:ascii="宋体" w:hAnsi="宋体" w:eastAsia="宋体" w:cs="Times New Roman"/>
                <w:sz w:val="24"/>
                <w:szCs w:val="28"/>
              </w:rPr>
            </w:pPr>
            <w:r>
              <w:rPr>
                <w:rFonts w:hint="eastAsia" w:ascii="宋体" w:hAnsi="宋体" w:eastAsia="宋体" w:cs="Times New Roman"/>
                <w:sz w:val="24"/>
                <w:szCs w:val="28"/>
              </w:rPr>
              <w:t>平时考核：</w:t>
            </w:r>
          </w:p>
          <w:p w14:paraId="1EE145EF">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书写病历情况、换药、临床操作等；</w:t>
            </w:r>
          </w:p>
          <w:p w14:paraId="1FD152D7">
            <w:pPr>
              <w:jc w:val="left"/>
              <w:rPr>
                <w:rFonts w:ascii="宋体" w:hAnsi="宋体" w:eastAsia="宋体" w:cs="Times New Roman"/>
                <w:sz w:val="24"/>
                <w:szCs w:val="28"/>
              </w:rPr>
            </w:pPr>
          </w:p>
          <w:p w14:paraId="3E7C63A9">
            <w:pPr>
              <w:jc w:val="left"/>
              <w:rPr>
                <w:rFonts w:ascii="宋体" w:hAnsi="宋体" w:eastAsia="宋体" w:cs="Times New Roman"/>
                <w:sz w:val="24"/>
                <w:szCs w:val="28"/>
              </w:rPr>
            </w:pPr>
            <w:r>
              <w:rPr>
                <w:rFonts w:hint="eastAsia" w:ascii="宋体" w:hAnsi="宋体" w:eastAsia="宋体" w:cs="Times New Roman"/>
                <w:sz w:val="24"/>
                <w:szCs w:val="28"/>
              </w:rPr>
              <w:t>出组考核：</w:t>
            </w:r>
          </w:p>
          <w:p w14:paraId="6A6DB59B">
            <w:pPr>
              <w:jc w:val="left"/>
              <w:rPr>
                <w:rFonts w:ascii="宋体" w:hAnsi="宋体" w:eastAsia="宋体" w:cs="Times New Roman"/>
                <w:sz w:val="24"/>
                <w:szCs w:val="28"/>
              </w:rPr>
            </w:pPr>
            <w:r>
              <w:rPr>
                <w:rFonts w:hint="eastAsia" w:ascii="宋体" w:hAnsi="宋体" w:eastAsia="宋体" w:cs="Times New Roman"/>
                <w:sz w:val="24"/>
                <w:szCs w:val="28"/>
              </w:rPr>
              <w:t>临床思维及理论考试</w:t>
            </w:r>
          </w:p>
        </w:tc>
        <w:tc>
          <w:tcPr>
            <w:tcW w:w="1701" w:type="dxa"/>
            <w:shd w:val="clear" w:color="auto" w:fill="auto"/>
          </w:tcPr>
          <w:p w14:paraId="46CF6952">
            <w:pPr>
              <w:jc w:val="left"/>
              <w:rPr>
                <w:rFonts w:ascii="宋体" w:hAnsi="宋体" w:eastAsia="宋体" w:cs="Times New Roman"/>
                <w:sz w:val="24"/>
                <w:szCs w:val="28"/>
              </w:rPr>
            </w:pPr>
            <w:r>
              <w:rPr>
                <w:rFonts w:hint="eastAsia" w:ascii="宋体" w:hAnsi="宋体" w:eastAsia="宋体" w:cs="Times New Roman"/>
                <w:sz w:val="24"/>
                <w:szCs w:val="28"/>
              </w:rPr>
              <w:t>熟练掌握耳科疾病的诊治思路，熟练掌握耳内镜检查技术，正确阅读耳部CT，熟悉显微镜下中耳手术</w:t>
            </w:r>
          </w:p>
        </w:tc>
      </w:tr>
      <w:tr w14:paraId="3D252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05" w:type="dxa"/>
            <w:shd w:val="clear" w:color="auto" w:fill="auto"/>
            <w:vAlign w:val="center"/>
          </w:tcPr>
          <w:p w14:paraId="4CE9D860">
            <w:pPr>
              <w:jc w:val="center"/>
              <w:rPr>
                <w:rFonts w:ascii="宋体" w:hAnsi="宋体" w:eastAsia="宋体" w:cs="Times New Roman"/>
                <w:sz w:val="24"/>
                <w:szCs w:val="28"/>
              </w:rPr>
            </w:pPr>
            <w:r>
              <w:rPr>
                <w:rFonts w:hint="eastAsia" w:ascii="宋体" w:hAnsi="宋体" w:eastAsia="宋体" w:cs="Times New Roman"/>
                <w:sz w:val="24"/>
                <w:szCs w:val="28"/>
              </w:rPr>
              <w:t>鼻</w:t>
            </w:r>
          </w:p>
        </w:tc>
        <w:tc>
          <w:tcPr>
            <w:tcW w:w="936" w:type="dxa"/>
            <w:vAlign w:val="center"/>
          </w:tcPr>
          <w:p w14:paraId="7AC0A627">
            <w:pPr>
              <w:jc w:val="center"/>
              <w:rPr>
                <w:rFonts w:ascii="宋体" w:hAnsi="宋体" w:eastAsia="宋体"/>
                <w:sz w:val="24"/>
                <w:szCs w:val="28"/>
              </w:rPr>
            </w:pPr>
            <w:r>
              <w:rPr>
                <w:rFonts w:hint="eastAsia" w:ascii="宋体" w:hAnsi="宋体" w:eastAsia="宋体"/>
                <w:sz w:val="24"/>
                <w:szCs w:val="28"/>
              </w:rPr>
              <w:t>3个月</w:t>
            </w:r>
          </w:p>
        </w:tc>
        <w:tc>
          <w:tcPr>
            <w:tcW w:w="2896" w:type="dxa"/>
            <w:shd w:val="clear" w:color="auto" w:fill="auto"/>
          </w:tcPr>
          <w:p w14:paraId="4D902CFF">
            <w:pPr>
              <w:jc w:val="left"/>
              <w:rPr>
                <w:rFonts w:ascii="宋体" w:hAnsi="宋体" w:eastAsia="宋体" w:cs="Times New Roman"/>
                <w:sz w:val="24"/>
                <w:szCs w:val="28"/>
              </w:rPr>
            </w:pPr>
            <w:r>
              <w:rPr>
                <w:rFonts w:hint="eastAsia" w:ascii="宋体" w:hAnsi="宋体" w:eastAsia="宋体" w:cs="Times New Roman"/>
                <w:sz w:val="24"/>
                <w:szCs w:val="28"/>
              </w:rPr>
              <w:t>1.鼻科常见病、疑难病的诊治；</w:t>
            </w:r>
          </w:p>
          <w:p w14:paraId="0D84397C">
            <w:pPr>
              <w:jc w:val="left"/>
              <w:rPr>
                <w:rFonts w:ascii="宋体" w:hAnsi="宋体" w:eastAsia="宋体" w:cs="Times New Roman"/>
                <w:sz w:val="24"/>
                <w:szCs w:val="28"/>
              </w:rPr>
            </w:pPr>
            <w:r>
              <w:rPr>
                <w:rFonts w:hint="eastAsia" w:ascii="宋体" w:hAnsi="宋体" w:eastAsia="宋体" w:cs="Times New Roman"/>
                <w:sz w:val="24"/>
                <w:szCs w:val="28"/>
              </w:rPr>
              <w:t>2.鼻内镜的常规操作；</w:t>
            </w:r>
          </w:p>
          <w:p w14:paraId="24FD7C81">
            <w:pPr>
              <w:jc w:val="left"/>
              <w:rPr>
                <w:rFonts w:ascii="宋体" w:hAnsi="宋体" w:eastAsia="宋体" w:cs="Times New Roman"/>
                <w:sz w:val="24"/>
                <w:szCs w:val="28"/>
              </w:rPr>
            </w:pPr>
            <w:r>
              <w:rPr>
                <w:rFonts w:hint="eastAsia" w:ascii="宋体" w:hAnsi="宋体" w:eastAsia="宋体" w:cs="Times New Roman"/>
                <w:sz w:val="24"/>
                <w:szCs w:val="28"/>
              </w:rPr>
              <w:t>3.鼻科相关检查结果的阅读及判断，如过敏原检查结果、鼻腔通气功能检测和鼻部CT阅片；</w:t>
            </w:r>
          </w:p>
          <w:p w14:paraId="34DFF1C2">
            <w:pPr>
              <w:rPr>
                <w:rFonts w:ascii="宋体" w:hAnsi="宋体" w:eastAsia="宋体" w:cs="Times New Roman"/>
                <w:sz w:val="24"/>
                <w:szCs w:val="28"/>
              </w:rPr>
            </w:pPr>
            <w:r>
              <w:rPr>
                <w:rFonts w:hint="eastAsia" w:ascii="宋体" w:hAnsi="宋体" w:eastAsia="宋体" w:cs="Times New Roman"/>
                <w:sz w:val="24"/>
                <w:szCs w:val="28"/>
              </w:rPr>
              <w:t>4.鼻部疾病的各种手术方式；</w:t>
            </w:r>
          </w:p>
        </w:tc>
        <w:tc>
          <w:tcPr>
            <w:tcW w:w="1418" w:type="dxa"/>
            <w:shd w:val="clear" w:color="auto" w:fill="auto"/>
          </w:tcPr>
          <w:p w14:paraId="07266733">
            <w:pPr>
              <w:jc w:val="left"/>
              <w:rPr>
                <w:rFonts w:ascii="宋体" w:hAnsi="宋体" w:eastAsia="宋体" w:cs="Times New Roman"/>
                <w:sz w:val="24"/>
                <w:szCs w:val="28"/>
              </w:rPr>
            </w:pPr>
            <w:r>
              <w:rPr>
                <w:rFonts w:hint="eastAsia" w:ascii="宋体" w:hAnsi="宋体" w:eastAsia="宋体" w:cs="Times New Roman"/>
                <w:sz w:val="24"/>
                <w:szCs w:val="28"/>
              </w:rPr>
              <w:t>跟组，</w:t>
            </w:r>
          </w:p>
          <w:p w14:paraId="5E13247F">
            <w:pPr>
              <w:jc w:val="left"/>
              <w:rPr>
                <w:rFonts w:ascii="宋体" w:hAnsi="宋体" w:eastAsia="宋体" w:cs="Times New Roman"/>
                <w:sz w:val="24"/>
                <w:szCs w:val="28"/>
              </w:rPr>
            </w:pPr>
            <w:r>
              <w:rPr>
                <w:rFonts w:hint="eastAsia" w:ascii="宋体" w:hAnsi="宋体" w:eastAsia="宋体" w:cs="Times New Roman"/>
                <w:sz w:val="24"/>
                <w:szCs w:val="28"/>
              </w:rPr>
              <w:t>自管病床，</w:t>
            </w:r>
          </w:p>
          <w:p w14:paraId="5725B17E">
            <w:pPr>
              <w:jc w:val="left"/>
              <w:rPr>
                <w:rFonts w:ascii="宋体" w:hAnsi="宋体" w:eastAsia="宋体" w:cs="Times New Roman"/>
                <w:sz w:val="24"/>
                <w:szCs w:val="28"/>
              </w:rPr>
            </w:pPr>
            <w:r>
              <w:rPr>
                <w:rFonts w:hint="eastAsia" w:ascii="宋体" w:hAnsi="宋体" w:eastAsia="宋体" w:cs="Times New Roman"/>
                <w:sz w:val="24"/>
                <w:szCs w:val="28"/>
              </w:rPr>
              <w:t>参加门诊，</w:t>
            </w:r>
          </w:p>
          <w:p w14:paraId="38A5FDAF">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14:paraId="313A7F0B">
            <w:pPr>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14:paraId="09E278EB">
            <w:pPr>
              <w:jc w:val="left"/>
              <w:rPr>
                <w:rFonts w:ascii="宋体" w:hAnsi="宋体" w:eastAsia="宋体" w:cs="Times New Roman"/>
                <w:sz w:val="24"/>
                <w:szCs w:val="28"/>
              </w:rPr>
            </w:pPr>
            <w:r>
              <w:rPr>
                <w:rFonts w:hint="eastAsia" w:ascii="宋体" w:hAnsi="宋体" w:eastAsia="宋体" w:cs="Times New Roman"/>
                <w:sz w:val="24"/>
                <w:szCs w:val="28"/>
              </w:rPr>
              <w:t>平时考核：</w:t>
            </w:r>
          </w:p>
          <w:p w14:paraId="217D67DA">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书写病历情况、换药、临床操作等；</w:t>
            </w:r>
          </w:p>
          <w:p w14:paraId="42A51D56">
            <w:pPr>
              <w:jc w:val="left"/>
              <w:rPr>
                <w:rFonts w:ascii="宋体" w:hAnsi="宋体" w:eastAsia="宋体" w:cs="Times New Roman"/>
                <w:sz w:val="24"/>
                <w:szCs w:val="28"/>
              </w:rPr>
            </w:pPr>
          </w:p>
          <w:p w14:paraId="045958B2">
            <w:pPr>
              <w:jc w:val="left"/>
              <w:rPr>
                <w:rFonts w:ascii="宋体" w:hAnsi="宋体" w:eastAsia="宋体" w:cs="Times New Roman"/>
                <w:sz w:val="24"/>
                <w:szCs w:val="28"/>
              </w:rPr>
            </w:pPr>
            <w:r>
              <w:rPr>
                <w:rFonts w:hint="eastAsia" w:ascii="宋体" w:hAnsi="宋体" w:eastAsia="宋体" w:cs="Times New Roman"/>
                <w:sz w:val="24"/>
                <w:szCs w:val="28"/>
              </w:rPr>
              <w:t>出组考核：</w:t>
            </w:r>
          </w:p>
          <w:p w14:paraId="3E468317">
            <w:pPr>
              <w:rPr>
                <w:rFonts w:ascii="宋体" w:hAnsi="宋体" w:eastAsia="宋体" w:cs="Times New Roman"/>
                <w:sz w:val="24"/>
                <w:szCs w:val="28"/>
              </w:rPr>
            </w:pPr>
            <w:r>
              <w:rPr>
                <w:rFonts w:hint="eastAsia" w:ascii="宋体" w:hAnsi="宋体" w:eastAsia="宋体" w:cs="Times New Roman"/>
                <w:sz w:val="24"/>
                <w:szCs w:val="28"/>
              </w:rPr>
              <w:t>临床思维及理论考试</w:t>
            </w:r>
          </w:p>
        </w:tc>
        <w:tc>
          <w:tcPr>
            <w:tcW w:w="1701" w:type="dxa"/>
            <w:shd w:val="clear" w:color="auto" w:fill="auto"/>
          </w:tcPr>
          <w:p w14:paraId="1E2E7DC5">
            <w:pPr>
              <w:jc w:val="left"/>
              <w:rPr>
                <w:rFonts w:ascii="宋体" w:hAnsi="宋体" w:eastAsia="宋体" w:cs="Times New Roman"/>
                <w:sz w:val="24"/>
                <w:szCs w:val="28"/>
              </w:rPr>
            </w:pPr>
            <w:r>
              <w:rPr>
                <w:rFonts w:hint="eastAsia" w:ascii="宋体" w:hAnsi="宋体" w:eastAsia="宋体" w:cs="Times New Roman"/>
                <w:sz w:val="24"/>
                <w:szCs w:val="28"/>
              </w:rPr>
              <w:t>熟练掌握鼻科疾病的诊治思路，熟练掌握鼻内镜检查技术，正确阅读鼻部CT，熟悉鼻内镜下鼻腔鼻窦手术</w:t>
            </w:r>
          </w:p>
        </w:tc>
      </w:tr>
      <w:tr w14:paraId="1B6E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dxa"/>
            <w:shd w:val="clear" w:color="auto" w:fill="auto"/>
            <w:vAlign w:val="center"/>
          </w:tcPr>
          <w:p w14:paraId="29110D0C">
            <w:pPr>
              <w:jc w:val="center"/>
              <w:rPr>
                <w:rFonts w:ascii="宋体" w:hAnsi="宋体" w:eastAsia="宋体" w:cs="Times New Roman"/>
                <w:sz w:val="24"/>
                <w:szCs w:val="28"/>
              </w:rPr>
            </w:pPr>
            <w:r>
              <w:rPr>
                <w:rFonts w:hint="eastAsia" w:ascii="宋体" w:hAnsi="宋体" w:eastAsia="宋体" w:cs="Times New Roman"/>
                <w:sz w:val="24"/>
                <w:szCs w:val="28"/>
              </w:rPr>
              <w:t>咽喉</w:t>
            </w:r>
          </w:p>
        </w:tc>
        <w:tc>
          <w:tcPr>
            <w:tcW w:w="936" w:type="dxa"/>
            <w:vAlign w:val="center"/>
          </w:tcPr>
          <w:p w14:paraId="2E13160E">
            <w:pPr>
              <w:jc w:val="center"/>
              <w:rPr>
                <w:rFonts w:ascii="宋体" w:hAnsi="宋体" w:eastAsia="宋体"/>
                <w:sz w:val="24"/>
                <w:szCs w:val="28"/>
              </w:rPr>
            </w:pPr>
            <w:r>
              <w:rPr>
                <w:rFonts w:hint="eastAsia" w:ascii="宋体" w:hAnsi="宋体" w:eastAsia="宋体"/>
                <w:sz w:val="24"/>
                <w:szCs w:val="28"/>
              </w:rPr>
              <w:t>3个月</w:t>
            </w:r>
          </w:p>
        </w:tc>
        <w:tc>
          <w:tcPr>
            <w:tcW w:w="2896" w:type="dxa"/>
            <w:shd w:val="clear" w:color="auto" w:fill="auto"/>
          </w:tcPr>
          <w:p w14:paraId="0E943906">
            <w:pPr>
              <w:jc w:val="left"/>
              <w:rPr>
                <w:rFonts w:ascii="宋体" w:hAnsi="宋体" w:eastAsia="宋体" w:cs="Times New Roman"/>
                <w:sz w:val="24"/>
                <w:szCs w:val="28"/>
              </w:rPr>
            </w:pPr>
            <w:r>
              <w:rPr>
                <w:rFonts w:hint="eastAsia" w:ascii="宋体" w:hAnsi="宋体" w:eastAsia="宋体" w:cs="Times New Roman"/>
                <w:sz w:val="24"/>
                <w:szCs w:val="28"/>
              </w:rPr>
              <w:t>1.咽喉科常见病、疑难病的诊治；</w:t>
            </w:r>
          </w:p>
          <w:p w14:paraId="50A7303F">
            <w:pPr>
              <w:jc w:val="left"/>
              <w:rPr>
                <w:rFonts w:ascii="宋体" w:hAnsi="宋体" w:eastAsia="宋体" w:cs="Times New Roman"/>
                <w:sz w:val="24"/>
                <w:szCs w:val="28"/>
              </w:rPr>
            </w:pPr>
            <w:r>
              <w:rPr>
                <w:rFonts w:hint="eastAsia" w:ascii="宋体" w:hAnsi="宋体" w:eastAsia="宋体" w:cs="Times New Roman"/>
                <w:sz w:val="24"/>
                <w:szCs w:val="28"/>
              </w:rPr>
              <w:t>2.电子鼻咽喉镜的常规操作；</w:t>
            </w:r>
          </w:p>
          <w:p w14:paraId="219B072B">
            <w:pPr>
              <w:jc w:val="left"/>
              <w:rPr>
                <w:rFonts w:ascii="宋体" w:hAnsi="宋体" w:eastAsia="宋体" w:cs="Times New Roman"/>
                <w:sz w:val="24"/>
                <w:szCs w:val="28"/>
              </w:rPr>
            </w:pPr>
            <w:r>
              <w:rPr>
                <w:rFonts w:hint="eastAsia" w:ascii="宋体" w:hAnsi="宋体" w:eastAsia="宋体" w:cs="Times New Roman"/>
                <w:sz w:val="24"/>
                <w:szCs w:val="28"/>
              </w:rPr>
              <w:t>3.咽喉科相关检查结果的阅读及判断，如喉镜检查结果、嗓音评估结果和咽喉部CT阅片；</w:t>
            </w:r>
          </w:p>
          <w:p w14:paraId="03E64DEC">
            <w:pPr>
              <w:rPr>
                <w:rFonts w:ascii="宋体" w:hAnsi="宋体" w:eastAsia="宋体" w:cs="Times New Roman"/>
                <w:sz w:val="24"/>
                <w:szCs w:val="28"/>
              </w:rPr>
            </w:pPr>
            <w:r>
              <w:rPr>
                <w:rFonts w:hint="eastAsia" w:ascii="宋体" w:hAnsi="宋体" w:eastAsia="宋体" w:cs="Times New Roman"/>
                <w:sz w:val="24"/>
                <w:szCs w:val="28"/>
              </w:rPr>
              <w:t>4.咽喉部疾病的各种手术方式；</w:t>
            </w:r>
          </w:p>
        </w:tc>
        <w:tc>
          <w:tcPr>
            <w:tcW w:w="1418" w:type="dxa"/>
            <w:shd w:val="clear" w:color="auto" w:fill="auto"/>
          </w:tcPr>
          <w:p w14:paraId="38D7AC6D">
            <w:pPr>
              <w:jc w:val="left"/>
              <w:rPr>
                <w:rFonts w:ascii="宋体" w:hAnsi="宋体" w:eastAsia="宋体" w:cs="Times New Roman"/>
                <w:sz w:val="24"/>
                <w:szCs w:val="28"/>
              </w:rPr>
            </w:pPr>
            <w:r>
              <w:rPr>
                <w:rFonts w:hint="eastAsia" w:ascii="宋体" w:hAnsi="宋体" w:eastAsia="宋体" w:cs="Times New Roman"/>
                <w:sz w:val="24"/>
                <w:szCs w:val="28"/>
              </w:rPr>
              <w:t>跟组，</w:t>
            </w:r>
          </w:p>
          <w:p w14:paraId="6B2AD88C">
            <w:pPr>
              <w:jc w:val="left"/>
              <w:rPr>
                <w:rFonts w:ascii="宋体" w:hAnsi="宋体" w:eastAsia="宋体" w:cs="Times New Roman"/>
                <w:sz w:val="24"/>
                <w:szCs w:val="28"/>
              </w:rPr>
            </w:pPr>
            <w:r>
              <w:rPr>
                <w:rFonts w:hint="eastAsia" w:ascii="宋体" w:hAnsi="宋体" w:eastAsia="宋体" w:cs="Times New Roman"/>
                <w:sz w:val="24"/>
                <w:szCs w:val="28"/>
              </w:rPr>
              <w:t>自管病床，</w:t>
            </w:r>
          </w:p>
          <w:p w14:paraId="5B87D67C">
            <w:pPr>
              <w:jc w:val="left"/>
              <w:rPr>
                <w:rFonts w:ascii="宋体" w:hAnsi="宋体" w:eastAsia="宋体" w:cs="Times New Roman"/>
                <w:sz w:val="24"/>
                <w:szCs w:val="28"/>
              </w:rPr>
            </w:pPr>
            <w:r>
              <w:rPr>
                <w:rFonts w:hint="eastAsia" w:ascii="宋体" w:hAnsi="宋体" w:eastAsia="宋体" w:cs="Times New Roman"/>
                <w:sz w:val="24"/>
                <w:szCs w:val="28"/>
              </w:rPr>
              <w:t>参加门诊，</w:t>
            </w:r>
          </w:p>
          <w:p w14:paraId="5A1C9392">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14:paraId="48D6C338">
            <w:pPr>
              <w:jc w:val="left"/>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14:paraId="0B7D6FD1">
            <w:pPr>
              <w:jc w:val="left"/>
              <w:rPr>
                <w:rFonts w:ascii="宋体" w:hAnsi="宋体" w:eastAsia="宋体" w:cs="Times New Roman"/>
                <w:sz w:val="24"/>
                <w:szCs w:val="28"/>
              </w:rPr>
            </w:pPr>
            <w:r>
              <w:rPr>
                <w:rFonts w:hint="eastAsia" w:ascii="宋体" w:hAnsi="宋体" w:eastAsia="宋体" w:cs="Times New Roman"/>
                <w:sz w:val="24"/>
                <w:szCs w:val="28"/>
              </w:rPr>
              <w:t>平时考核：</w:t>
            </w:r>
          </w:p>
          <w:p w14:paraId="51E2FFF4">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书写病历情况、换药、临床操作等；</w:t>
            </w:r>
          </w:p>
          <w:p w14:paraId="67230700">
            <w:pPr>
              <w:jc w:val="left"/>
              <w:rPr>
                <w:rFonts w:ascii="宋体" w:hAnsi="宋体" w:eastAsia="宋体" w:cs="Times New Roman"/>
                <w:sz w:val="24"/>
                <w:szCs w:val="28"/>
              </w:rPr>
            </w:pPr>
          </w:p>
          <w:p w14:paraId="6FA39083">
            <w:pPr>
              <w:jc w:val="left"/>
              <w:rPr>
                <w:rFonts w:ascii="宋体" w:hAnsi="宋体" w:eastAsia="宋体" w:cs="Times New Roman"/>
                <w:sz w:val="24"/>
                <w:szCs w:val="28"/>
              </w:rPr>
            </w:pPr>
            <w:r>
              <w:rPr>
                <w:rFonts w:hint="eastAsia" w:ascii="宋体" w:hAnsi="宋体" w:eastAsia="宋体" w:cs="Times New Roman"/>
                <w:sz w:val="24"/>
                <w:szCs w:val="28"/>
              </w:rPr>
              <w:t>出组考核：</w:t>
            </w:r>
          </w:p>
          <w:p w14:paraId="755FBE86">
            <w:pPr>
              <w:jc w:val="left"/>
              <w:rPr>
                <w:rFonts w:ascii="宋体" w:hAnsi="宋体" w:eastAsia="宋体" w:cs="Times New Roman"/>
                <w:sz w:val="24"/>
                <w:szCs w:val="28"/>
              </w:rPr>
            </w:pPr>
            <w:r>
              <w:rPr>
                <w:rFonts w:hint="eastAsia" w:ascii="宋体" w:hAnsi="宋体" w:eastAsia="宋体" w:cs="Times New Roman"/>
                <w:sz w:val="24"/>
                <w:szCs w:val="28"/>
              </w:rPr>
              <w:t>临床思维及理论考试</w:t>
            </w:r>
          </w:p>
        </w:tc>
        <w:tc>
          <w:tcPr>
            <w:tcW w:w="1701" w:type="dxa"/>
            <w:shd w:val="clear" w:color="auto" w:fill="auto"/>
          </w:tcPr>
          <w:p w14:paraId="433C1255">
            <w:pPr>
              <w:jc w:val="left"/>
              <w:rPr>
                <w:rFonts w:ascii="宋体" w:hAnsi="宋体" w:eastAsia="宋体" w:cs="Times New Roman"/>
                <w:sz w:val="24"/>
                <w:szCs w:val="28"/>
              </w:rPr>
            </w:pPr>
            <w:r>
              <w:rPr>
                <w:rFonts w:hint="eastAsia" w:ascii="宋体" w:hAnsi="宋体" w:eastAsia="宋体" w:cs="Times New Roman"/>
                <w:sz w:val="24"/>
                <w:szCs w:val="28"/>
              </w:rPr>
              <w:t>熟练掌握咽喉疾病的诊治思路，熟练掌握电子鼻咽喉镜检查技术，正确阅读咽喉部CT，熟悉常见鼾症手术及支撑喉镜下咽喉部疾病手术</w:t>
            </w:r>
          </w:p>
        </w:tc>
      </w:tr>
      <w:tr w14:paraId="4CB2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6" w:hRule="atLeast"/>
        </w:trPr>
        <w:tc>
          <w:tcPr>
            <w:tcW w:w="705" w:type="dxa"/>
            <w:shd w:val="clear" w:color="auto" w:fill="auto"/>
            <w:vAlign w:val="center"/>
          </w:tcPr>
          <w:p w14:paraId="14245ED9">
            <w:pPr>
              <w:jc w:val="center"/>
              <w:rPr>
                <w:rFonts w:ascii="宋体" w:hAnsi="宋体" w:eastAsia="宋体" w:cs="Times New Roman"/>
                <w:sz w:val="24"/>
                <w:szCs w:val="28"/>
              </w:rPr>
            </w:pPr>
            <w:r>
              <w:rPr>
                <w:rFonts w:hint="eastAsia" w:ascii="宋体" w:hAnsi="宋体" w:eastAsia="宋体" w:cs="Times New Roman"/>
                <w:sz w:val="24"/>
                <w:szCs w:val="28"/>
              </w:rPr>
              <w:t>头颈</w:t>
            </w:r>
          </w:p>
        </w:tc>
        <w:tc>
          <w:tcPr>
            <w:tcW w:w="936" w:type="dxa"/>
            <w:vAlign w:val="center"/>
          </w:tcPr>
          <w:p w14:paraId="32925087">
            <w:pPr>
              <w:jc w:val="center"/>
              <w:rPr>
                <w:rFonts w:ascii="宋体" w:hAnsi="宋体" w:eastAsia="宋体"/>
                <w:sz w:val="24"/>
                <w:szCs w:val="28"/>
              </w:rPr>
            </w:pPr>
            <w:r>
              <w:rPr>
                <w:rFonts w:hint="eastAsia" w:ascii="宋体" w:hAnsi="宋体" w:eastAsia="宋体"/>
                <w:sz w:val="24"/>
                <w:szCs w:val="28"/>
              </w:rPr>
              <w:t>3个月</w:t>
            </w:r>
          </w:p>
        </w:tc>
        <w:tc>
          <w:tcPr>
            <w:tcW w:w="2896" w:type="dxa"/>
            <w:shd w:val="clear" w:color="auto" w:fill="auto"/>
          </w:tcPr>
          <w:p w14:paraId="4953E062">
            <w:pPr>
              <w:jc w:val="left"/>
              <w:rPr>
                <w:rFonts w:ascii="宋体" w:hAnsi="宋体" w:eastAsia="宋体" w:cs="Times New Roman"/>
                <w:sz w:val="24"/>
                <w:szCs w:val="28"/>
              </w:rPr>
            </w:pPr>
            <w:r>
              <w:rPr>
                <w:rFonts w:hint="eastAsia" w:ascii="宋体" w:hAnsi="宋体" w:eastAsia="宋体" w:cs="Times New Roman"/>
                <w:sz w:val="24"/>
                <w:szCs w:val="28"/>
              </w:rPr>
              <w:t>1.头颈部常见病、疑难病的诊治；</w:t>
            </w:r>
          </w:p>
          <w:p w14:paraId="46C044D5">
            <w:pPr>
              <w:jc w:val="left"/>
              <w:rPr>
                <w:rFonts w:ascii="宋体" w:hAnsi="宋体" w:eastAsia="宋体" w:cs="Times New Roman"/>
                <w:sz w:val="24"/>
                <w:szCs w:val="28"/>
              </w:rPr>
            </w:pPr>
            <w:r>
              <w:rPr>
                <w:rFonts w:hint="eastAsia" w:ascii="宋体" w:hAnsi="宋体" w:eastAsia="宋体" w:cs="Times New Roman"/>
                <w:sz w:val="24"/>
                <w:szCs w:val="28"/>
              </w:rPr>
              <w:t>2.头颈部相关检查结果的阅读及判断，如颈部CT和彩超等；</w:t>
            </w:r>
          </w:p>
          <w:p w14:paraId="5619D35A">
            <w:pPr>
              <w:jc w:val="left"/>
              <w:rPr>
                <w:rFonts w:ascii="宋体" w:hAnsi="宋体" w:eastAsia="宋体" w:cs="Times New Roman"/>
                <w:sz w:val="24"/>
                <w:szCs w:val="28"/>
              </w:rPr>
            </w:pPr>
            <w:r>
              <w:rPr>
                <w:rFonts w:hint="eastAsia" w:ascii="宋体" w:hAnsi="宋体" w:eastAsia="宋体" w:cs="Times New Roman"/>
                <w:sz w:val="24"/>
                <w:szCs w:val="28"/>
              </w:rPr>
              <w:t>3.头颈部疾病的各种手术方式；</w:t>
            </w:r>
          </w:p>
        </w:tc>
        <w:tc>
          <w:tcPr>
            <w:tcW w:w="1418" w:type="dxa"/>
            <w:shd w:val="clear" w:color="auto" w:fill="auto"/>
          </w:tcPr>
          <w:p w14:paraId="55762DDF">
            <w:pPr>
              <w:jc w:val="left"/>
              <w:rPr>
                <w:rFonts w:ascii="宋体" w:hAnsi="宋体" w:eastAsia="宋体" w:cs="Times New Roman"/>
                <w:sz w:val="24"/>
                <w:szCs w:val="28"/>
              </w:rPr>
            </w:pPr>
            <w:r>
              <w:rPr>
                <w:rFonts w:hint="eastAsia" w:ascii="宋体" w:hAnsi="宋体" w:eastAsia="宋体" w:cs="Times New Roman"/>
                <w:sz w:val="24"/>
                <w:szCs w:val="28"/>
              </w:rPr>
              <w:t>跟组，</w:t>
            </w:r>
          </w:p>
          <w:p w14:paraId="3ADDAABC">
            <w:pPr>
              <w:jc w:val="left"/>
              <w:rPr>
                <w:rFonts w:ascii="宋体" w:hAnsi="宋体" w:eastAsia="宋体" w:cs="Times New Roman"/>
                <w:sz w:val="24"/>
                <w:szCs w:val="28"/>
              </w:rPr>
            </w:pPr>
            <w:r>
              <w:rPr>
                <w:rFonts w:hint="eastAsia" w:ascii="宋体" w:hAnsi="宋体" w:eastAsia="宋体" w:cs="Times New Roman"/>
                <w:sz w:val="24"/>
                <w:szCs w:val="28"/>
              </w:rPr>
              <w:t>自管病床，</w:t>
            </w:r>
          </w:p>
          <w:p w14:paraId="570CE25B">
            <w:pPr>
              <w:jc w:val="left"/>
              <w:rPr>
                <w:rFonts w:ascii="宋体" w:hAnsi="宋体" w:eastAsia="宋体" w:cs="Times New Roman"/>
                <w:sz w:val="24"/>
                <w:szCs w:val="28"/>
              </w:rPr>
            </w:pPr>
            <w:r>
              <w:rPr>
                <w:rFonts w:hint="eastAsia" w:ascii="宋体" w:hAnsi="宋体" w:eastAsia="宋体" w:cs="Times New Roman"/>
                <w:sz w:val="24"/>
                <w:szCs w:val="28"/>
              </w:rPr>
              <w:t>参加门诊，</w:t>
            </w:r>
          </w:p>
          <w:p w14:paraId="3105E3CF">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14:paraId="48003918">
            <w:pPr>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14:paraId="3EA17086">
            <w:pPr>
              <w:jc w:val="left"/>
              <w:rPr>
                <w:rFonts w:ascii="宋体" w:hAnsi="宋体" w:eastAsia="宋体" w:cs="Times New Roman"/>
                <w:sz w:val="24"/>
                <w:szCs w:val="28"/>
              </w:rPr>
            </w:pPr>
            <w:r>
              <w:rPr>
                <w:rFonts w:hint="eastAsia" w:ascii="宋体" w:hAnsi="宋体" w:eastAsia="宋体" w:cs="Times New Roman"/>
                <w:sz w:val="24"/>
                <w:szCs w:val="28"/>
              </w:rPr>
              <w:t>平时考核：</w:t>
            </w:r>
          </w:p>
          <w:p w14:paraId="2BE59E64">
            <w:pPr>
              <w:jc w:val="left"/>
              <w:rPr>
                <w:rFonts w:ascii="宋体" w:hAnsi="宋体" w:eastAsia="宋体" w:cs="Times New Roman"/>
                <w:sz w:val="24"/>
                <w:szCs w:val="28"/>
              </w:rPr>
            </w:pPr>
            <w:r>
              <w:rPr>
                <w:rFonts w:hint="eastAsia" w:ascii="宋体" w:hAnsi="宋体" w:eastAsia="宋体" w:cs="Times New Roman"/>
                <w:sz w:val="24"/>
                <w:szCs w:val="28"/>
              </w:rPr>
              <w:t>书写病历情况、换药、临床操作等；</w:t>
            </w:r>
          </w:p>
          <w:p w14:paraId="38D4256D">
            <w:pPr>
              <w:jc w:val="left"/>
              <w:rPr>
                <w:rFonts w:ascii="宋体" w:hAnsi="宋体" w:eastAsia="宋体" w:cs="Times New Roman"/>
                <w:sz w:val="24"/>
                <w:szCs w:val="28"/>
              </w:rPr>
            </w:pPr>
          </w:p>
          <w:p w14:paraId="0E208B4F">
            <w:pPr>
              <w:jc w:val="left"/>
              <w:rPr>
                <w:rFonts w:ascii="宋体" w:hAnsi="宋体" w:eastAsia="宋体" w:cs="Times New Roman"/>
                <w:sz w:val="24"/>
                <w:szCs w:val="28"/>
              </w:rPr>
            </w:pPr>
            <w:r>
              <w:rPr>
                <w:rFonts w:hint="eastAsia" w:ascii="宋体" w:hAnsi="宋体" w:eastAsia="宋体" w:cs="Times New Roman"/>
                <w:sz w:val="24"/>
                <w:szCs w:val="28"/>
              </w:rPr>
              <w:t>出组考核：</w:t>
            </w:r>
          </w:p>
          <w:p w14:paraId="5C7A0DCE">
            <w:pPr>
              <w:jc w:val="left"/>
              <w:rPr>
                <w:rFonts w:ascii="宋体" w:hAnsi="宋体" w:eastAsia="宋体" w:cs="Times New Roman"/>
                <w:sz w:val="24"/>
                <w:szCs w:val="28"/>
              </w:rPr>
            </w:pPr>
            <w:r>
              <w:rPr>
                <w:rFonts w:hint="eastAsia" w:ascii="宋体" w:hAnsi="宋体" w:eastAsia="宋体" w:cs="Times New Roman"/>
                <w:sz w:val="24"/>
                <w:szCs w:val="28"/>
              </w:rPr>
              <w:t>临床思维及理论考试</w:t>
            </w:r>
          </w:p>
        </w:tc>
        <w:tc>
          <w:tcPr>
            <w:tcW w:w="1701" w:type="dxa"/>
            <w:shd w:val="clear" w:color="auto" w:fill="auto"/>
          </w:tcPr>
          <w:p w14:paraId="63DEF9A4">
            <w:pPr>
              <w:jc w:val="left"/>
              <w:rPr>
                <w:rFonts w:ascii="宋体" w:hAnsi="宋体" w:eastAsia="宋体" w:cs="Times New Roman"/>
                <w:sz w:val="24"/>
                <w:szCs w:val="28"/>
              </w:rPr>
            </w:pPr>
            <w:r>
              <w:rPr>
                <w:rFonts w:hint="eastAsia" w:ascii="宋体" w:hAnsi="宋体" w:eastAsia="宋体" w:cs="Times New Roman"/>
                <w:sz w:val="24"/>
                <w:szCs w:val="28"/>
              </w:rPr>
              <w:t>熟练掌握颈部疾病的诊治思路，熟练掌握颈部肿块的鉴别诊断，正确阅读颈部CT，熟悉颈部淋巴结清扫手术、开放性肿瘤切除及常见修复重建手术</w:t>
            </w:r>
          </w:p>
        </w:tc>
      </w:tr>
      <w:tr w14:paraId="3213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705" w:type="dxa"/>
            <w:shd w:val="clear" w:color="auto" w:fill="auto"/>
            <w:vAlign w:val="center"/>
          </w:tcPr>
          <w:p w14:paraId="4F78F495">
            <w:pPr>
              <w:spacing w:line="360" w:lineRule="auto"/>
              <w:jc w:val="center"/>
              <w:rPr>
                <w:rFonts w:ascii="宋体" w:hAnsi="宋体" w:eastAsia="宋体" w:cs="Times New Roman"/>
                <w:sz w:val="24"/>
                <w:szCs w:val="28"/>
              </w:rPr>
            </w:pPr>
            <w:r>
              <w:rPr>
                <w:rFonts w:hint="eastAsia" w:ascii="宋体" w:hAnsi="宋体" w:eastAsia="宋体" w:cs="Times New Roman"/>
                <w:sz w:val="24"/>
                <w:szCs w:val="28"/>
              </w:rPr>
              <w:t>听力中心</w:t>
            </w:r>
          </w:p>
        </w:tc>
        <w:tc>
          <w:tcPr>
            <w:tcW w:w="936" w:type="dxa"/>
            <w:vAlign w:val="center"/>
          </w:tcPr>
          <w:p w14:paraId="1E301FAB">
            <w:pPr>
              <w:jc w:val="center"/>
              <w:rPr>
                <w:rFonts w:ascii="宋体" w:hAnsi="宋体" w:eastAsia="宋体"/>
                <w:sz w:val="24"/>
                <w:szCs w:val="28"/>
              </w:rPr>
            </w:pPr>
            <w:r>
              <w:rPr>
                <w:rFonts w:hint="eastAsia" w:ascii="宋体" w:hAnsi="宋体" w:eastAsia="宋体" w:cs="Times New Roman"/>
                <w:sz w:val="24"/>
                <w:szCs w:val="28"/>
              </w:rPr>
              <w:t>6/12月</w:t>
            </w:r>
          </w:p>
        </w:tc>
        <w:tc>
          <w:tcPr>
            <w:tcW w:w="2896" w:type="dxa"/>
            <w:shd w:val="clear" w:color="auto" w:fill="auto"/>
          </w:tcPr>
          <w:p w14:paraId="2DCF0CF3">
            <w:pPr>
              <w:jc w:val="left"/>
              <w:rPr>
                <w:rFonts w:ascii="宋体" w:hAnsi="宋体" w:eastAsia="宋体" w:cs="Times New Roman"/>
                <w:sz w:val="24"/>
                <w:szCs w:val="28"/>
              </w:rPr>
            </w:pPr>
            <w:r>
              <w:rPr>
                <w:rFonts w:hint="eastAsia" w:ascii="宋体" w:hAnsi="宋体" w:eastAsia="宋体" w:cs="Times New Roman"/>
                <w:sz w:val="24"/>
                <w:szCs w:val="28"/>
              </w:rPr>
              <w:t>听力相关疾病的诊治措施、听觉言语康复及听力保护方案培训的诊治学习等。</w:t>
            </w:r>
          </w:p>
        </w:tc>
        <w:tc>
          <w:tcPr>
            <w:tcW w:w="1418" w:type="dxa"/>
            <w:shd w:val="clear" w:color="auto" w:fill="auto"/>
          </w:tcPr>
          <w:p w14:paraId="0EA0CCA8">
            <w:pPr>
              <w:jc w:val="left"/>
              <w:rPr>
                <w:rFonts w:ascii="宋体" w:hAnsi="宋体" w:eastAsia="宋体" w:cs="Times New Roman"/>
                <w:sz w:val="24"/>
                <w:szCs w:val="28"/>
              </w:rPr>
            </w:pPr>
            <w:r>
              <w:rPr>
                <w:rFonts w:hint="eastAsia" w:ascii="宋体" w:hAnsi="宋体" w:eastAsia="宋体" w:cs="Times New Roman"/>
                <w:sz w:val="24"/>
                <w:szCs w:val="28"/>
              </w:rPr>
              <w:t>参加门诊，</w:t>
            </w:r>
          </w:p>
          <w:p w14:paraId="599B656D">
            <w:pPr>
              <w:jc w:val="left"/>
              <w:rPr>
                <w:rFonts w:ascii="宋体" w:hAnsi="宋体" w:eastAsia="宋体" w:cs="Times New Roman"/>
                <w:sz w:val="24"/>
                <w:szCs w:val="28"/>
              </w:rPr>
            </w:pPr>
            <w:r>
              <w:rPr>
                <w:rFonts w:hint="eastAsia" w:ascii="宋体" w:hAnsi="宋体" w:eastAsia="宋体" w:cs="Times New Roman"/>
                <w:sz w:val="24"/>
                <w:szCs w:val="28"/>
              </w:rPr>
              <w:t>参加教学活动，</w:t>
            </w:r>
          </w:p>
          <w:p w14:paraId="1B6F77DC">
            <w:pPr>
              <w:rPr>
                <w:rFonts w:ascii="宋体" w:hAnsi="宋体" w:eastAsia="宋体" w:cs="Times New Roman"/>
                <w:sz w:val="24"/>
                <w:szCs w:val="28"/>
              </w:rPr>
            </w:pPr>
            <w:r>
              <w:rPr>
                <w:rFonts w:hint="eastAsia" w:ascii="宋体" w:hAnsi="宋体" w:eastAsia="宋体" w:cs="Times New Roman"/>
                <w:sz w:val="24"/>
                <w:szCs w:val="28"/>
              </w:rPr>
              <w:t>实际操作</w:t>
            </w:r>
          </w:p>
        </w:tc>
        <w:tc>
          <w:tcPr>
            <w:tcW w:w="1417" w:type="dxa"/>
            <w:shd w:val="clear" w:color="auto" w:fill="auto"/>
          </w:tcPr>
          <w:p w14:paraId="2CD286C7">
            <w:pPr>
              <w:jc w:val="left"/>
              <w:rPr>
                <w:rFonts w:ascii="宋体" w:hAnsi="宋体" w:eastAsia="宋体" w:cs="Times New Roman"/>
                <w:sz w:val="24"/>
                <w:szCs w:val="28"/>
              </w:rPr>
            </w:pPr>
            <w:r>
              <w:rPr>
                <w:rFonts w:hint="eastAsia" w:ascii="宋体" w:hAnsi="宋体" w:eastAsia="宋体" w:cs="Times New Roman"/>
                <w:sz w:val="24"/>
                <w:szCs w:val="28"/>
              </w:rPr>
              <w:t>平时考核：</w:t>
            </w:r>
          </w:p>
          <w:p w14:paraId="0653BADE">
            <w:pPr>
              <w:jc w:val="left"/>
              <w:rPr>
                <w:rFonts w:ascii="宋体" w:hAnsi="宋体" w:eastAsia="宋体" w:cs="Times New Roman"/>
                <w:sz w:val="24"/>
                <w:szCs w:val="28"/>
              </w:rPr>
            </w:pPr>
            <w:r>
              <w:rPr>
                <w:rFonts w:hint="eastAsia" w:ascii="宋体" w:hAnsi="宋体" w:eastAsia="宋体" w:cs="Times New Roman"/>
                <w:sz w:val="24"/>
                <w:szCs w:val="28"/>
              </w:rPr>
              <w:t>考勤；</w:t>
            </w:r>
          </w:p>
          <w:p w14:paraId="49D1683E">
            <w:pPr>
              <w:jc w:val="left"/>
              <w:rPr>
                <w:rFonts w:ascii="宋体" w:hAnsi="宋体" w:eastAsia="宋体" w:cs="Times New Roman"/>
                <w:sz w:val="24"/>
                <w:szCs w:val="28"/>
              </w:rPr>
            </w:pPr>
            <w:r>
              <w:rPr>
                <w:rFonts w:hint="eastAsia" w:ascii="宋体" w:hAnsi="宋体" w:eastAsia="宋体" w:cs="Times New Roman"/>
                <w:sz w:val="24"/>
                <w:szCs w:val="28"/>
              </w:rPr>
              <w:t>实际操作</w:t>
            </w:r>
          </w:p>
          <w:p w14:paraId="4B70F867">
            <w:pPr>
              <w:jc w:val="left"/>
              <w:rPr>
                <w:rFonts w:ascii="宋体" w:hAnsi="宋体" w:eastAsia="宋体" w:cs="Times New Roman"/>
                <w:sz w:val="24"/>
                <w:szCs w:val="28"/>
              </w:rPr>
            </w:pPr>
          </w:p>
          <w:p w14:paraId="2BB9BCAE">
            <w:pPr>
              <w:jc w:val="left"/>
              <w:rPr>
                <w:rFonts w:ascii="宋体" w:hAnsi="宋体" w:eastAsia="宋体" w:cs="Times New Roman"/>
                <w:sz w:val="24"/>
                <w:szCs w:val="28"/>
              </w:rPr>
            </w:pPr>
            <w:r>
              <w:rPr>
                <w:rFonts w:hint="eastAsia" w:ascii="宋体" w:hAnsi="宋体" w:eastAsia="宋体" w:cs="Times New Roman"/>
                <w:sz w:val="24"/>
                <w:szCs w:val="28"/>
              </w:rPr>
              <w:t>出组考核：</w:t>
            </w:r>
          </w:p>
          <w:p w14:paraId="5DD5EAA3">
            <w:pPr>
              <w:jc w:val="left"/>
              <w:rPr>
                <w:rFonts w:ascii="宋体" w:hAnsi="宋体" w:eastAsia="宋体" w:cs="Times New Roman"/>
                <w:sz w:val="24"/>
                <w:szCs w:val="28"/>
              </w:rPr>
            </w:pPr>
            <w:r>
              <w:rPr>
                <w:rFonts w:hint="eastAsia" w:ascii="宋体" w:hAnsi="宋体" w:eastAsia="宋体" w:cs="Times New Roman"/>
                <w:sz w:val="24"/>
                <w:szCs w:val="28"/>
              </w:rPr>
              <w:t>理论考试</w:t>
            </w:r>
          </w:p>
        </w:tc>
        <w:tc>
          <w:tcPr>
            <w:tcW w:w="1701" w:type="dxa"/>
            <w:shd w:val="clear" w:color="auto" w:fill="auto"/>
          </w:tcPr>
          <w:p w14:paraId="069A48E7">
            <w:pPr>
              <w:jc w:val="left"/>
              <w:rPr>
                <w:rFonts w:ascii="宋体" w:hAnsi="宋体" w:eastAsia="宋体" w:cs="Times New Roman"/>
                <w:sz w:val="24"/>
                <w:szCs w:val="28"/>
              </w:rPr>
            </w:pPr>
            <w:r>
              <w:rPr>
                <w:rFonts w:hint="eastAsia" w:ascii="宋体" w:hAnsi="宋体" w:eastAsia="宋体" w:cs="Times New Roman"/>
                <w:sz w:val="24"/>
                <w:szCs w:val="28"/>
              </w:rPr>
              <w:t>熟练掌握听力相关疾病的诊治；听力言语康复；</w:t>
            </w:r>
          </w:p>
        </w:tc>
      </w:tr>
      <w:tr w14:paraId="42EA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705" w:type="dxa"/>
            <w:shd w:val="clear" w:color="auto" w:fill="auto"/>
            <w:vAlign w:val="center"/>
          </w:tcPr>
          <w:p w14:paraId="5E4CF90B">
            <w:pPr>
              <w:jc w:val="left"/>
              <w:rPr>
                <w:rFonts w:asciiTheme="minorEastAsia" w:hAnsiTheme="minorEastAsia"/>
                <w:sz w:val="24"/>
                <w:szCs w:val="24"/>
              </w:rPr>
            </w:pPr>
            <w:r>
              <w:rPr>
                <w:rFonts w:hint="eastAsia" w:asciiTheme="minorEastAsia" w:hAnsiTheme="minorEastAsia"/>
                <w:sz w:val="24"/>
                <w:szCs w:val="24"/>
              </w:rPr>
              <w:t>前庭眩晕</w:t>
            </w:r>
          </w:p>
        </w:tc>
        <w:tc>
          <w:tcPr>
            <w:tcW w:w="936" w:type="dxa"/>
            <w:vAlign w:val="center"/>
          </w:tcPr>
          <w:p w14:paraId="64C61DC0">
            <w:pPr>
              <w:jc w:val="left"/>
              <w:rPr>
                <w:rFonts w:asciiTheme="minorEastAsia" w:hAnsiTheme="minorEastAsia"/>
                <w:sz w:val="24"/>
                <w:szCs w:val="24"/>
              </w:rPr>
            </w:pPr>
            <w:r>
              <w:rPr>
                <w:rFonts w:hint="eastAsia" w:cs="Times New Roman" w:asciiTheme="minorEastAsia" w:hAnsiTheme="minorEastAsia"/>
                <w:sz w:val="24"/>
                <w:szCs w:val="24"/>
              </w:rPr>
              <w:t>6/12月</w:t>
            </w:r>
          </w:p>
        </w:tc>
        <w:tc>
          <w:tcPr>
            <w:tcW w:w="2896" w:type="dxa"/>
            <w:shd w:val="clear" w:color="auto" w:fill="auto"/>
          </w:tcPr>
          <w:p w14:paraId="4FC67B5B">
            <w:pPr>
              <w:jc w:val="left"/>
              <w:rPr>
                <w:rFonts w:asciiTheme="minorEastAsia" w:hAnsiTheme="minorEastAsia"/>
                <w:sz w:val="24"/>
                <w:szCs w:val="24"/>
              </w:rPr>
            </w:pPr>
            <w:r>
              <w:rPr>
                <w:rFonts w:hint="eastAsia" w:asciiTheme="minorEastAsia" w:hAnsiTheme="minorEastAsia"/>
                <w:sz w:val="24"/>
                <w:szCs w:val="24"/>
              </w:rPr>
              <w:t>前庭眩晕的诊疗及检查</w:t>
            </w:r>
          </w:p>
        </w:tc>
        <w:tc>
          <w:tcPr>
            <w:tcW w:w="1418" w:type="dxa"/>
            <w:shd w:val="clear" w:color="auto" w:fill="auto"/>
          </w:tcPr>
          <w:p w14:paraId="57BADE40">
            <w:pPr>
              <w:jc w:val="left"/>
              <w:rPr>
                <w:rFonts w:asciiTheme="minorEastAsia" w:hAnsiTheme="minorEastAsia"/>
                <w:sz w:val="24"/>
                <w:szCs w:val="24"/>
              </w:rPr>
            </w:pPr>
            <w:r>
              <w:rPr>
                <w:rFonts w:hint="eastAsia" w:asciiTheme="minorEastAsia" w:hAnsiTheme="minorEastAsia"/>
                <w:sz w:val="24"/>
                <w:szCs w:val="24"/>
              </w:rPr>
              <w:t>见习、实习、授课、实操相结合</w:t>
            </w:r>
          </w:p>
        </w:tc>
        <w:tc>
          <w:tcPr>
            <w:tcW w:w="1417" w:type="dxa"/>
            <w:shd w:val="clear" w:color="auto" w:fill="auto"/>
          </w:tcPr>
          <w:p w14:paraId="488B7558">
            <w:pPr>
              <w:jc w:val="left"/>
              <w:rPr>
                <w:rFonts w:asciiTheme="minorEastAsia" w:hAnsiTheme="minorEastAsia"/>
                <w:sz w:val="24"/>
                <w:szCs w:val="24"/>
              </w:rPr>
            </w:pPr>
            <w:r>
              <w:rPr>
                <w:rFonts w:hint="eastAsia" w:asciiTheme="minorEastAsia" w:hAnsiTheme="minorEastAsia"/>
                <w:sz w:val="24"/>
                <w:szCs w:val="24"/>
              </w:rPr>
              <w:t>平时成绩+</w:t>
            </w:r>
          </w:p>
          <w:p w14:paraId="5B8F5349">
            <w:pPr>
              <w:jc w:val="left"/>
              <w:rPr>
                <w:rFonts w:asciiTheme="minorEastAsia" w:hAnsiTheme="minorEastAsia"/>
                <w:sz w:val="24"/>
                <w:szCs w:val="24"/>
              </w:rPr>
            </w:pPr>
            <w:r>
              <w:rPr>
                <w:rFonts w:hint="eastAsia" w:asciiTheme="minorEastAsia" w:hAnsiTheme="minorEastAsia"/>
                <w:sz w:val="24"/>
                <w:szCs w:val="24"/>
              </w:rPr>
              <w:t>结业考核</w:t>
            </w:r>
          </w:p>
        </w:tc>
        <w:tc>
          <w:tcPr>
            <w:tcW w:w="1701" w:type="dxa"/>
            <w:shd w:val="clear" w:color="auto" w:fill="auto"/>
          </w:tcPr>
          <w:p w14:paraId="59256FEE">
            <w:pPr>
              <w:jc w:val="left"/>
              <w:rPr>
                <w:rFonts w:asciiTheme="minorEastAsia" w:hAnsiTheme="minorEastAsia"/>
                <w:sz w:val="24"/>
                <w:szCs w:val="24"/>
              </w:rPr>
            </w:pPr>
            <w:r>
              <w:rPr>
                <w:rFonts w:hint="eastAsia" w:asciiTheme="minorEastAsia" w:hAnsiTheme="minorEastAsia"/>
                <w:sz w:val="24"/>
                <w:szCs w:val="24"/>
              </w:rPr>
              <w:t>前庭医学方向专科水平</w:t>
            </w:r>
          </w:p>
        </w:tc>
      </w:tr>
      <w:tr w14:paraId="2E56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705" w:type="dxa"/>
            <w:shd w:val="clear" w:color="auto" w:fill="auto"/>
            <w:vAlign w:val="center"/>
          </w:tcPr>
          <w:p w14:paraId="46BD58D4">
            <w:pPr>
              <w:spacing w:line="360" w:lineRule="auto"/>
              <w:jc w:val="left"/>
              <w:rPr>
                <w:rFonts w:ascii="宋体" w:hAnsi="宋体" w:eastAsia="宋体"/>
                <w:sz w:val="24"/>
                <w:szCs w:val="24"/>
              </w:rPr>
            </w:pPr>
            <w:r>
              <w:rPr>
                <w:rFonts w:hint="eastAsia" w:ascii="宋体" w:hAnsi="宋体" w:eastAsia="宋体"/>
                <w:sz w:val="24"/>
                <w:szCs w:val="24"/>
              </w:rPr>
              <w:t>变态反应学</w:t>
            </w:r>
          </w:p>
        </w:tc>
        <w:tc>
          <w:tcPr>
            <w:tcW w:w="936" w:type="dxa"/>
            <w:vAlign w:val="center"/>
          </w:tcPr>
          <w:p w14:paraId="48517B70">
            <w:pPr>
              <w:spacing w:line="360" w:lineRule="auto"/>
              <w:jc w:val="left"/>
              <w:rPr>
                <w:rFonts w:ascii="宋体" w:hAnsi="宋体" w:eastAsia="宋体"/>
                <w:sz w:val="24"/>
                <w:szCs w:val="24"/>
              </w:rPr>
            </w:pPr>
            <w:r>
              <w:rPr>
                <w:rFonts w:hint="eastAsia" w:ascii="宋体" w:hAnsi="宋体" w:eastAsia="宋体"/>
                <w:sz w:val="24"/>
                <w:szCs w:val="24"/>
              </w:rPr>
              <w:t>3/6/12月</w:t>
            </w:r>
          </w:p>
        </w:tc>
        <w:tc>
          <w:tcPr>
            <w:tcW w:w="2896" w:type="dxa"/>
            <w:shd w:val="clear" w:color="auto" w:fill="auto"/>
          </w:tcPr>
          <w:p w14:paraId="6ABE60F0">
            <w:pPr>
              <w:jc w:val="left"/>
              <w:rPr>
                <w:rFonts w:ascii="宋体" w:hAnsi="宋体" w:eastAsia="宋体"/>
                <w:sz w:val="24"/>
                <w:szCs w:val="24"/>
              </w:rPr>
            </w:pPr>
            <w:r>
              <w:rPr>
                <w:rFonts w:hint="eastAsia" w:ascii="宋体" w:hAnsi="宋体" w:eastAsia="宋体"/>
                <w:sz w:val="24"/>
                <w:szCs w:val="24"/>
              </w:rPr>
              <w:t>医师：常见过敏性疾病和过敏性疾病疑难重症、罕见病的诊治。掌握过敏原检测方法的临床应用及结果解读，脱敏治疗方案的制订和严重过敏反应的处理；了解食物、药物过敏的诊治。</w:t>
            </w:r>
          </w:p>
          <w:p w14:paraId="78236119">
            <w:pPr>
              <w:jc w:val="left"/>
              <w:rPr>
                <w:rFonts w:ascii="宋体" w:hAnsi="宋体" w:eastAsia="宋体"/>
                <w:sz w:val="24"/>
                <w:szCs w:val="24"/>
              </w:rPr>
            </w:pPr>
            <w:r>
              <w:rPr>
                <w:rFonts w:hint="eastAsia" w:ascii="宋体" w:hAnsi="宋体" w:eastAsia="宋体"/>
                <w:sz w:val="24"/>
                <w:szCs w:val="24"/>
              </w:rPr>
              <w:t>护士或技师：掌握过敏原检测方法的操作方法及结果分析；掌握皮下脱敏治疗的注射方法及过敏反应的处理。</w:t>
            </w:r>
          </w:p>
        </w:tc>
        <w:tc>
          <w:tcPr>
            <w:tcW w:w="1418" w:type="dxa"/>
            <w:shd w:val="clear" w:color="auto" w:fill="auto"/>
          </w:tcPr>
          <w:p w14:paraId="299F39F4">
            <w:pPr>
              <w:jc w:val="left"/>
              <w:rPr>
                <w:rFonts w:ascii="宋体" w:hAnsi="宋体" w:eastAsia="宋体"/>
                <w:sz w:val="24"/>
                <w:szCs w:val="24"/>
              </w:rPr>
            </w:pPr>
            <w:r>
              <w:rPr>
                <w:rFonts w:hint="eastAsia" w:ascii="宋体" w:hAnsi="宋体" w:eastAsia="宋体"/>
                <w:sz w:val="24"/>
                <w:szCs w:val="24"/>
              </w:rPr>
              <w:t>医师：跟带教医师门诊，独立询问病史，参加各种教学活动。</w:t>
            </w:r>
          </w:p>
          <w:p w14:paraId="3FB1D210">
            <w:pPr>
              <w:jc w:val="left"/>
              <w:rPr>
                <w:rFonts w:ascii="宋体" w:hAnsi="宋体" w:eastAsia="宋体"/>
                <w:sz w:val="24"/>
                <w:szCs w:val="24"/>
              </w:rPr>
            </w:pPr>
            <w:r>
              <w:rPr>
                <w:rFonts w:hint="eastAsia" w:ascii="宋体" w:hAnsi="宋体" w:eastAsia="宋体"/>
                <w:sz w:val="24"/>
                <w:szCs w:val="24"/>
              </w:rPr>
              <w:t>护士或技师：跟过敏原检测室护士、技术员操作及分析结果。</w:t>
            </w:r>
          </w:p>
        </w:tc>
        <w:tc>
          <w:tcPr>
            <w:tcW w:w="1417" w:type="dxa"/>
            <w:shd w:val="clear" w:color="auto" w:fill="auto"/>
          </w:tcPr>
          <w:p w14:paraId="53F797FC">
            <w:pPr>
              <w:jc w:val="left"/>
              <w:rPr>
                <w:rFonts w:ascii="宋体" w:hAnsi="宋体" w:eastAsia="宋体"/>
                <w:sz w:val="24"/>
                <w:szCs w:val="24"/>
              </w:rPr>
            </w:pPr>
            <w:r>
              <w:rPr>
                <w:rFonts w:hint="eastAsia" w:ascii="宋体" w:hAnsi="宋体" w:eastAsia="宋体"/>
                <w:sz w:val="24"/>
                <w:szCs w:val="24"/>
              </w:rPr>
              <w:t>理论考试、操作考核相结合</w:t>
            </w:r>
          </w:p>
        </w:tc>
        <w:tc>
          <w:tcPr>
            <w:tcW w:w="1701" w:type="dxa"/>
            <w:shd w:val="clear" w:color="auto" w:fill="auto"/>
          </w:tcPr>
          <w:p w14:paraId="65FD038C">
            <w:pPr>
              <w:jc w:val="left"/>
              <w:rPr>
                <w:rFonts w:ascii="宋体" w:hAnsi="宋体" w:eastAsia="宋体"/>
                <w:sz w:val="24"/>
                <w:szCs w:val="24"/>
              </w:rPr>
            </w:pPr>
            <w:bookmarkStart w:id="0" w:name="OLE_LINK1"/>
            <w:r>
              <w:rPr>
                <w:rFonts w:hint="eastAsia" w:ascii="宋体" w:hAnsi="宋体" w:eastAsia="宋体"/>
                <w:sz w:val="24"/>
                <w:szCs w:val="24"/>
              </w:rPr>
              <w:t>医师：基本掌握常见过敏性疾病诊治理论和临床技能；初步了解食物、药物过敏的诊治。</w:t>
            </w:r>
            <w:bookmarkEnd w:id="0"/>
          </w:p>
          <w:p w14:paraId="20043F06">
            <w:pPr>
              <w:jc w:val="left"/>
              <w:rPr>
                <w:rFonts w:ascii="宋体" w:hAnsi="宋体" w:eastAsia="宋体"/>
                <w:sz w:val="24"/>
                <w:szCs w:val="24"/>
              </w:rPr>
            </w:pPr>
            <w:r>
              <w:rPr>
                <w:rFonts w:hint="eastAsia" w:ascii="宋体" w:hAnsi="宋体" w:eastAsia="宋体"/>
                <w:sz w:val="24"/>
                <w:szCs w:val="24"/>
              </w:rPr>
              <w:t>护士或技师：</w:t>
            </w:r>
          </w:p>
          <w:p w14:paraId="712F3803">
            <w:pPr>
              <w:jc w:val="left"/>
              <w:rPr>
                <w:rFonts w:ascii="宋体" w:hAnsi="宋体" w:eastAsia="宋体"/>
                <w:sz w:val="24"/>
                <w:szCs w:val="24"/>
              </w:rPr>
            </w:pPr>
            <w:r>
              <w:rPr>
                <w:rFonts w:hint="eastAsia" w:ascii="宋体" w:hAnsi="宋体" w:eastAsia="宋体"/>
                <w:sz w:val="24"/>
                <w:szCs w:val="24"/>
              </w:rPr>
              <w:t>基本掌握过敏原检测方法的操作方法及结果分析；初步了解皮下脱敏治疗。</w:t>
            </w:r>
          </w:p>
          <w:p w14:paraId="2CD85852">
            <w:pPr>
              <w:jc w:val="left"/>
              <w:rPr>
                <w:rFonts w:ascii="宋体" w:hAnsi="宋体" w:eastAsia="宋体"/>
                <w:sz w:val="24"/>
                <w:szCs w:val="24"/>
              </w:rPr>
            </w:pPr>
          </w:p>
        </w:tc>
      </w:tr>
      <w:tr w14:paraId="2C73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705" w:type="dxa"/>
            <w:shd w:val="clear" w:color="auto" w:fill="auto"/>
            <w:vAlign w:val="center"/>
          </w:tcPr>
          <w:p w14:paraId="7DA90018">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耳鼻喉内镜中心</w:t>
            </w:r>
          </w:p>
        </w:tc>
        <w:tc>
          <w:tcPr>
            <w:tcW w:w="936" w:type="dxa"/>
          </w:tcPr>
          <w:p w14:paraId="29875C14">
            <w:pPr>
              <w:spacing w:line="360" w:lineRule="auto"/>
              <w:jc w:val="center"/>
              <w:rPr>
                <w:rFonts w:ascii="宋体" w:hAnsi="宋体" w:eastAsia="宋体"/>
                <w:sz w:val="24"/>
                <w:szCs w:val="24"/>
              </w:rPr>
            </w:pPr>
            <w:r>
              <w:rPr>
                <w:rFonts w:hint="eastAsia" w:ascii="宋体" w:hAnsi="宋体" w:eastAsia="宋体"/>
                <w:sz w:val="24"/>
                <w:szCs w:val="24"/>
              </w:rPr>
              <w:t>3/6/12月</w:t>
            </w:r>
          </w:p>
        </w:tc>
        <w:tc>
          <w:tcPr>
            <w:tcW w:w="2896" w:type="dxa"/>
            <w:shd w:val="clear" w:color="auto" w:fill="auto"/>
          </w:tcPr>
          <w:p w14:paraId="2B5953BE">
            <w:pPr>
              <w:rPr>
                <w:rFonts w:ascii="宋体" w:hAnsi="宋体" w:eastAsia="宋体"/>
                <w:sz w:val="24"/>
                <w:szCs w:val="24"/>
              </w:rPr>
            </w:pPr>
            <w:r>
              <w:rPr>
                <w:rFonts w:hint="eastAsia" w:ascii="宋体" w:hAnsi="宋体" w:eastAsia="宋体"/>
                <w:sz w:val="24"/>
                <w:szCs w:val="24"/>
              </w:rPr>
              <w:t>耳鼻喉内镜相关检查及诊疗</w:t>
            </w:r>
          </w:p>
        </w:tc>
        <w:tc>
          <w:tcPr>
            <w:tcW w:w="1418" w:type="dxa"/>
            <w:shd w:val="clear" w:color="auto" w:fill="auto"/>
          </w:tcPr>
          <w:p w14:paraId="3122377C">
            <w:pPr>
              <w:rPr>
                <w:rFonts w:ascii="宋体" w:hAnsi="宋体" w:eastAsia="宋体"/>
                <w:sz w:val="24"/>
                <w:szCs w:val="24"/>
              </w:rPr>
            </w:pPr>
            <w:r>
              <w:rPr>
                <w:rFonts w:hint="eastAsia" w:ascii="宋体" w:hAnsi="宋体" w:eastAsia="宋体"/>
                <w:sz w:val="24"/>
                <w:szCs w:val="24"/>
              </w:rPr>
              <w:t>实习、授课、实操相结合</w:t>
            </w:r>
          </w:p>
        </w:tc>
        <w:tc>
          <w:tcPr>
            <w:tcW w:w="1417" w:type="dxa"/>
            <w:shd w:val="clear" w:color="auto" w:fill="auto"/>
          </w:tcPr>
          <w:p w14:paraId="34C9207B">
            <w:pPr>
              <w:jc w:val="center"/>
              <w:rPr>
                <w:rFonts w:ascii="宋体" w:hAnsi="宋体" w:eastAsia="宋体"/>
                <w:sz w:val="24"/>
                <w:szCs w:val="24"/>
              </w:rPr>
            </w:pPr>
            <w:r>
              <w:rPr>
                <w:rFonts w:hint="eastAsia" w:ascii="宋体" w:hAnsi="宋体" w:eastAsia="宋体"/>
                <w:sz w:val="24"/>
                <w:szCs w:val="24"/>
              </w:rPr>
              <w:t>平时成绩+</w:t>
            </w:r>
          </w:p>
          <w:p w14:paraId="7822389D">
            <w:pPr>
              <w:rPr>
                <w:rFonts w:ascii="宋体" w:hAnsi="宋体" w:eastAsia="宋体"/>
                <w:sz w:val="24"/>
                <w:szCs w:val="24"/>
              </w:rPr>
            </w:pPr>
            <w:r>
              <w:rPr>
                <w:rFonts w:hint="eastAsia" w:ascii="宋体" w:hAnsi="宋体" w:eastAsia="宋体"/>
                <w:sz w:val="24"/>
                <w:szCs w:val="24"/>
              </w:rPr>
              <w:t>结业考核</w:t>
            </w:r>
          </w:p>
        </w:tc>
        <w:tc>
          <w:tcPr>
            <w:tcW w:w="1701" w:type="dxa"/>
            <w:shd w:val="clear" w:color="auto" w:fill="auto"/>
          </w:tcPr>
          <w:p w14:paraId="2210ED01">
            <w:pPr>
              <w:rPr>
                <w:rFonts w:ascii="宋体" w:hAnsi="宋体" w:eastAsia="宋体"/>
                <w:sz w:val="24"/>
                <w:szCs w:val="24"/>
              </w:rPr>
            </w:pPr>
            <w:r>
              <w:rPr>
                <w:rFonts w:hint="eastAsia" w:ascii="宋体" w:hAnsi="宋体" w:eastAsia="宋体"/>
                <w:sz w:val="24"/>
                <w:szCs w:val="24"/>
              </w:rPr>
              <w:t>耳鼻喉内镜方向专科水平</w:t>
            </w:r>
          </w:p>
        </w:tc>
      </w:tr>
    </w:tbl>
    <w:p w14:paraId="077D6271">
      <w:pPr>
        <w:spacing w:line="360" w:lineRule="auto"/>
        <w:rPr>
          <w:rFonts w:ascii="仿宋_GB2312" w:eastAsia="仿宋_GB2312"/>
          <w:sz w:val="28"/>
          <w:szCs w:val="28"/>
        </w:rPr>
      </w:pPr>
    </w:p>
    <w:p w14:paraId="3DF67BAE">
      <w:pPr>
        <w:pStyle w:val="9"/>
        <w:numPr>
          <w:ilvl w:val="0"/>
          <w:numId w:val="1"/>
        </w:numPr>
        <w:spacing w:line="360" w:lineRule="auto"/>
        <w:ind w:firstLineChars="0"/>
        <w:rPr>
          <w:rFonts w:ascii="宋体" w:hAnsi="宋体" w:eastAsia="宋体"/>
          <w:b/>
          <w:sz w:val="24"/>
          <w:szCs w:val="24"/>
        </w:rPr>
      </w:pPr>
      <w:r>
        <w:rPr>
          <w:rFonts w:hint="eastAsia" w:ascii="宋体" w:hAnsi="宋体" w:eastAsia="宋体"/>
          <w:b/>
          <w:sz w:val="24"/>
          <w:szCs w:val="24"/>
        </w:rPr>
        <w:t>进修学员资质要求</w:t>
      </w:r>
    </w:p>
    <w:p w14:paraId="621B863D">
      <w:pPr>
        <w:spacing w:line="360" w:lineRule="auto"/>
        <w:ind w:firstLine="484" w:firstLineChars="202"/>
        <w:rPr>
          <w:rFonts w:ascii="宋体" w:hAnsi="宋体" w:eastAsia="宋体"/>
          <w:color w:val="000000" w:themeColor="text1"/>
          <w:sz w:val="24"/>
          <w:szCs w:val="24"/>
        </w:rPr>
      </w:pPr>
      <w:r>
        <w:rPr>
          <w:rFonts w:hint="eastAsia" w:ascii="宋体" w:hAnsi="宋体" w:eastAsia="宋体"/>
          <w:color w:val="000000" w:themeColor="text1"/>
          <w:sz w:val="24"/>
          <w:szCs w:val="24"/>
        </w:rPr>
        <w:t>医师：必须具备医师资格证及耳鼻咽喉头颈外科医师执业证，主治医师及高年资住院医师优先。</w:t>
      </w:r>
    </w:p>
    <w:p w14:paraId="547996F2">
      <w:pPr>
        <w:spacing w:line="360" w:lineRule="auto"/>
        <w:ind w:firstLine="484" w:firstLineChars="202"/>
        <w:rPr>
          <w:rFonts w:ascii="仿宋_GB2312" w:eastAsia="仿宋_GB2312"/>
          <w:sz w:val="28"/>
          <w:szCs w:val="28"/>
        </w:rPr>
      </w:pPr>
      <w:r>
        <w:rPr>
          <w:rFonts w:hint="eastAsia" w:ascii="宋体" w:hAnsi="宋体" w:eastAsia="宋体"/>
          <w:color w:val="000000" w:themeColor="text1"/>
          <w:sz w:val="24"/>
          <w:szCs w:val="24"/>
        </w:rPr>
        <w:t>技师：必须具备相关技师从业资格证。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70B08A22-0A17-4A56-92E3-979B7558B488}"/>
  </w:font>
  <w:font w:name="仿宋_GB2312">
    <w:altName w:val="仿宋"/>
    <w:panose1 w:val="00000000000000000000"/>
    <w:charset w:val="86"/>
    <w:family w:val="modern"/>
    <w:pitch w:val="default"/>
    <w:sig w:usb0="00000000" w:usb1="00000000" w:usb2="00000010" w:usb3="00000000" w:csb0="00040000" w:csb1="00000000"/>
    <w:embedRegular r:id="rId2" w:fontKey="{B9DF602A-0469-4215-AC2F-6EED633527C2}"/>
  </w:font>
  <w:font w:name="仿宋">
    <w:panose1 w:val="02010609060101010101"/>
    <w:charset w:val="86"/>
    <w:family w:val="modern"/>
    <w:pitch w:val="default"/>
    <w:sig w:usb0="800002BF" w:usb1="38CF7CFA" w:usb2="00000016" w:usb3="00000000" w:csb0="00040001" w:csb1="00000000"/>
    <w:embedRegular r:id="rId3" w:fontKey="{5BB98482-FFBC-415A-BEFC-E640D414B688}"/>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CF2470"/>
    <w:multiLevelType w:val="multilevel"/>
    <w:tmpl w:val="04CF247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4AAB3572"/>
    <w:multiLevelType w:val="multilevel"/>
    <w:tmpl w:val="4AAB357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11F5D07"/>
    <w:multiLevelType w:val="multilevel"/>
    <w:tmpl w:val="511F5D07"/>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2676702"/>
    <w:multiLevelType w:val="multilevel"/>
    <w:tmpl w:val="62676702"/>
    <w:lvl w:ilvl="0" w:tentative="0">
      <w:start w:val="1"/>
      <w:numFmt w:val="decimal"/>
      <w:lvlText w:val="%1."/>
      <w:lvlJc w:val="left"/>
      <w:pPr>
        <w:ind w:left="784" w:hanging="36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4">
    <w:nsid w:val="6DB6363D"/>
    <w:multiLevelType w:val="multilevel"/>
    <w:tmpl w:val="6DB6363D"/>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E6357"/>
    <w:rsid w:val="0007165C"/>
    <w:rsid w:val="001061F2"/>
    <w:rsid w:val="001B09F9"/>
    <w:rsid w:val="001D0F9D"/>
    <w:rsid w:val="00282159"/>
    <w:rsid w:val="00296303"/>
    <w:rsid w:val="003A0FA3"/>
    <w:rsid w:val="004502BD"/>
    <w:rsid w:val="00554A8E"/>
    <w:rsid w:val="005B5340"/>
    <w:rsid w:val="00673D6A"/>
    <w:rsid w:val="00676A4B"/>
    <w:rsid w:val="006B4261"/>
    <w:rsid w:val="006F18ED"/>
    <w:rsid w:val="00787F38"/>
    <w:rsid w:val="007D6574"/>
    <w:rsid w:val="00872674"/>
    <w:rsid w:val="00895486"/>
    <w:rsid w:val="008D10BA"/>
    <w:rsid w:val="008F0013"/>
    <w:rsid w:val="0099195E"/>
    <w:rsid w:val="009970C4"/>
    <w:rsid w:val="009A573C"/>
    <w:rsid w:val="00A356A8"/>
    <w:rsid w:val="00A43F04"/>
    <w:rsid w:val="00A72024"/>
    <w:rsid w:val="00AB0328"/>
    <w:rsid w:val="00B049E4"/>
    <w:rsid w:val="00BE1602"/>
    <w:rsid w:val="00C03ACA"/>
    <w:rsid w:val="00C37C83"/>
    <w:rsid w:val="00C62992"/>
    <w:rsid w:val="00C8367C"/>
    <w:rsid w:val="00D521DF"/>
    <w:rsid w:val="00E4101E"/>
    <w:rsid w:val="00E86BB5"/>
    <w:rsid w:val="00F1792C"/>
    <w:rsid w:val="00F40670"/>
    <w:rsid w:val="00FE6357"/>
    <w:rsid w:val="00FF4C51"/>
    <w:rsid w:val="0C9C2C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Strong"/>
    <w:basedOn w:val="6"/>
    <w:qFormat/>
    <w:uiPriority w:val="0"/>
    <w:rPr>
      <w:b/>
      <w:bCs/>
    </w:rPr>
  </w:style>
  <w:style w:type="character" w:styleId="8">
    <w:name w:val="Hyperlink"/>
    <w:basedOn w:val="6"/>
    <w:semiHidden/>
    <w:unhideWhenUsed/>
    <w:qFormat/>
    <w:uiPriority w:val="99"/>
    <w:rPr>
      <w:color w:val="0000FF"/>
      <w:u w:val="single"/>
    </w:rPr>
  </w:style>
  <w:style w:type="paragraph" w:styleId="9">
    <w:name w:val="List Paragraph"/>
    <w:basedOn w:val="1"/>
    <w:qFormat/>
    <w:uiPriority w:val="34"/>
    <w:pPr>
      <w:ind w:firstLine="420" w:firstLineChars="200"/>
    </w:pPr>
  </w:style>
  <w:style w:type="character" w:customStyle="1" w:styleId="10">
    <w:name w:val="页眉 Char"/>
    <w:basedOn w:val="6"/>
    <w:link w:val="3"/>
    <w:semiHidden/>
    <w:uiPriority w:val="99"/>
    <w:rPr>
      <w:sz w:val="18"/>
      <w:szCs w:val="18"/>
    </w:rPr>
  </w:style>
  <w:style w:type="character" w:customStyle="1" w:styleId="11">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3158</Words>
  <Characters>3235</Characters>
  <Lines>34</Lines>
  <Paragraphs>9</Paragraphs>
  <TotalTime>41</TotalTime>
  <ScaleCrop>false</ScaleCrop>
  <LinksUpToDate>false</LinksUpToDate>
  <CharactersWithSpaces>3242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2018-09-12T23:22:00Z</dcterms:created>
  <dc:creator>zyb</dc:creator>
  <cp:lastModifiedBy>刘良菊</cp:lastModifiedBy>
  <dcterms:modified xsi:type="dcterms:W3CDTF">2024-11-14T09:10:26Z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036FD53EEEEA43DDAB376DD9A101EEB2_12</vt:lpwstr>
  </property>
</Properties>
</file>