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方正小标宋简体" w:hAnsi="黑体" w:eastAsia="方正小标宋简体"/>
          <w:b/>
          <w:sz w:val="44"/>
          <w:szCs w:val="44"/>
        </w:rPr>
      </w:pPr>
      <w:r>
        <w:rPr>
          <w:rFonts w:hint="eastAsia" w:ascii="方正小标宋简体" w:hAnsi="黑体" w:eastAsia="方正小标宋简体"/>
          <w:b/>
          <w:sz w:val="44"/>
          <w:szCs w:val="44"/>
        </w:rPr>
        <w:t>心理卫生中心进修招生简章</w:t>
      </w:r>
      <w:bookmarkStart w:id="0" w:name="OLE_LINK1"/>
    </w:p>
    <w:p>
      <w:pPr>
        <w:spacing w:line="360" w:lineRule="auto"/>
        <w:rPr>
          <w:rFonts w:ascii="仿宋_GB2312" w:hAnsi="黑体" w:eastAsia="仿宋_GB2312"/>
          <w:b/>
          <w:color w:val="000000"/>
          <w:sz w:val="28"/>
          <w:szCs w:val="28"/>
        </w:rPr>
      </w:pPr>
      <w:r>
        <w:rPr>
          <w:rFonts w:hint="eastAsia" w:ascii="仿宋_GB2312" w:hAnsi="黑体" w:eastAsia="仿宋_GB2312"/>
          <w:b/>
          <w:color w:val="000000"/>
          <w:sz w:val="28"/>
          <w:szCs w:val="28"/>
        </w:rPr>
        <w:t>一、中心简介</w:t>
      </w:r>
    </w:p>
    <w:p>
      <w:pPr>
        <w:spacing w:line="360" w:lineRule="auto"/>
        <w:ind w:firstLine="560" w:firstLineChars="200"/>
        <w:rPr>
          <w:rFonts w:ascii="仿宋_GB2312" w:eastAsia="仿宋_GB2312"/>
          <w:color w:val="000000"/>
          <w:kern w:val="0"/>
          <w:sz w:val="28"/>
          <w:szCs w:val="28"/>
        </w:rPr>
      </w:pPr>
      <w:r>
        <w:rPr>
          <w:rFonts w:hint="eastAsia" w:ascii="仿宋_GB2312" w:eastAsia="仿宋_GB2312"/>
          <w:color w:val="000000"/>
          <w:kern w:val="0"/>
          <w:sz w:val="28"/>
          <w:szCs w:val="28"/>
        </w:rPr>
        <w:t>华西医院心理卫生中心是我国历史最悠久的精神病学及精神卫生学科之一。作为国家卫计委临床重点专科及国家级四大区域中心之一，我们以精湛的医疗技术、一流的临床质量享誉国内外。中心拥有一大批具有丰富临床和教学经验的师资队伍，医、教、研水平一直处于国内前列。中心年门诊量超过30万人次，年住院病人7000余人次，诊治疾病涵盖范围广泛、疑难重症种类繁多。本中心毕业后教育在基于病案的规范化课程和专题前沿论坛基础上，将着力夯实毕业后人员的临床基础理论、基础知识和基本技能，使受培训人员获得全方位的提升，成为具有前沿理念、解决实际问题的临床精神科人才。</w:t>
      </w:r>
      <w:bookmarkEnd w:id="0"/>
    </w:p>
    <w:p>
      <w:pPr>
        <w:spacing w:line="360" w:lineRule="auto"/>
        <w:rPr>
          <w:rFonts w:ascii="仿宋_GB2312" w:hAnsi="黑体" w:eastAsia="仿宋_GB2312"/>
          <w:b/>
          <w:color w:val="000000"/>
          <w:sz w:val="28"/>
          <w:szCs w:val="28"/>
        </w:rPr>
      </w:pPr>
      <w:r>
        <w:rPr>
          <w:rFonts w:hint="eastAsia" w:ascii="仿宋_GB2312" w:hAnsi="黑体" w:eastAsia="仿宋_GB2312"/>
          <w:b/>
          <w:color w:val="000000"/>
          <w:sz w:val="28"/>
          <w:szCs w:val="28"/>
        </w:rPr>
        <w:t xml:space="preserve">二、进修专业简介 </w:t>
      </w:r>
    </w:p>
    <w:p>
      <w:pPr>
        <w:spacing w:line="360" w:lineRule="auto"/>
        <w:rPr>
          <w:rFonts w:ascii="仿宋_GB2312" w:hAnsi="黑体" w:eastAsia="仿宋_GB2312"/>
          <w:color w:val="000000"/>
          <w:sz w:val="28"/>
          <w:szCs w:val="28"/>
        </w:rPr>
      </w:pPr>
      <w:r>
        <w:rPr>
          <w:rFonts w:hint="eastAsia" w:ascii="仿宋_GB2312" w:hAnsi="黑体" w:eastAsia="仿宋_GB2312"/>
          <w:color w:val="000000"/>
          <w:sz w:val="28"/>
          <w:szCs w:val="28"/>
        </w:rPr>
        <w:t>1.</w:t>
      </w:r>
      <w:r>
        <w:rPr>
          <w:rFonts w:hint="eastAsia" w:ascii="仿宋_GB2312" w:eastAsia="仿宋_GB2312"/>
          <w:color w:val="000000"/>
          <w:sz w:val="28"/>
          <w:szCs w:val="28"/>
        </w:rPr>
        <w:t>秉承学科融合、亚专业并进的理念，率先在国内成功建立多种临床服务模式，包括：重性精神障碍诊治的大开放小封闭模式和门诊-住院-社会和康复会所整合模式、心身疾病的精神科医生+临床心理治疗师联合诊治模式、儿童各类精神障碍大门诊小住院模式+医护心康一体化整合干预模式、老年神经精神障碍多学科诊治整合服务模式（老年精神科、老年神内科、老年科、脑影像科、神经心理评估和康复部）、临床心理和临床精神病学整合服务和教学等。</w:t>
      </w:r>
    </w:p>
    <w:p>
      <w:pPr>
        <w:spacing w:line="360" w:lineRule="auto"/>
        <w:rPr>
          <w:rFonts w:ascii="仿宋_GB2312" w:eastAsia="仿宋_GB2312"/>
          <w:color w:val="000000"/>
          <w:sz w:val="28"/>
          <w:szCs w:val="28"/>
        </w:rPr>
      </w:pPr>
      <w:r>
        <w:rPr>
          <w:rFonts w:hint="eastAsia" w:ascii="仿宋_GB2312" w:eastAsia="仿宋_GB2312"/>
          <w:color w:val="000000"/>
          <w:sz w:val="28"/>
          <w:szCs w:val="28"/>
        </w:rPr>
        <w:t>2. 招生时间及进修期限：每年春、秋季招生进修生两次，进修期限一般为半年或一年（包括科研进修）。招生时间一般定在入学的前两月，即春季（3月初）入学者，1月份录取；秋季（9月初）入学者，7月录取。</w:t>
      </w:r>
    </w:p>
    <w:p>
      <w:pPr>
        <w:spacing w:line="360" w:lineRule="auto"/>
        <w:rPr>
          <w:rFonts w:ascii="仿宋_GB2312" w:eastAsia="仿宋_GB2312"/>
          <w:b/>
          <w:color w:val="000000"/>
          <w:sz w:val="28"/>
          <w:szCs w:val="28"/>
        </w:rPr>
      </w:pPr>
      <w:r>
        <w:rPr>
          <w:rFonts w:hint="eastAsia" w:ascii="仿宋_GB2312" w:eastAsia="仿宋_GB2312"/>
          <w:b/>
          <w:color w:val="000000"/>
          <w:sz w:val="28"/>
          <w:szCs w:val="28"/>
        </w:rPr>
        <w:t>附一：各专业进修期限安排表</w:t>
      </w:r>
    </w:p>
    <w:tbl>
      <w:tblPr>
        <w:tblStyle w:val="12"/>
        <w:tblW w:w="8379" w:type="dxa"/>
        <w:tblInd w:w="0" w:type="dxa"/>
        <w:tblLayout w:type="autofit"/>
        <w:tblCellMar>
          <w:top w:w="0" w:type="dxa"/>
          <w:left w:w="0" w:type="dxa"/>
          <w:bottom w:w="0" w:type="dxa"/>
          <w:right w:w="0" w:type="dxa"/>
        </w:tblCellMar>
      </w:tblPr>
      <w:tblGrid>
        <w:gridCol w:w="1858"/>
        <w:gridCol w:w="1559"/>
        <w:gridCol w:w="1560"/>
        <w:gridCol w:w="3402"/>
      </w:tblGrid>
      <w:tr>
        <w:trPr>
          <w:trHeight w:val="620" w:hRule="atLeast"/>
        </w:trPr>
        <w:tc>
          <w:tcPr>
            <w:tcW w:w="1858" w:type="dxa"/>
            <w:tcBorders>
              <w:top w:val="single" w:color="auto" w:sz="8" w:space="0"/>
              <w:left w:val="single" w:color="auto" w:sz="8" w:space="0"/>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进修专业</w:t>
            </w:r>
          </w:p>
        </w:tc>
        <w:tc>
          <w:tcPr>
            <w:tcW w:w="1559" w:type="dxa"/>
            <w:tcBorders>
              <w:top w:val="single" w:color="auto" w:sz="8" w:space="0"/>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进修期限</w:t>
            </w:r>
          </w:p>
        </w:tc>
        <w:tc>
          <w:tcPr>
            <w:tcW w:w="1560" w:type="dxa"/>
            <w:tcBorders>
              <w:top w:val="single" w:color="auto" w:sz="8" w:space="0"/>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每年度招录人数</w:t>
            </w:r>
          </w:p>
        </w:tc>
        <w:tc>
          <w:tcPr>
            <w:tcW w:w="3402" w:type="dxa"/>
            <w:tcBorders>
              <w:top w:val="single" w:color="auto" w:sz="8" w:space="0"/>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备注</w:t>
            </w:r>
          </w:p>
        </w:tc>
      </w:tr>
      <w:tr>
        <w:trPr>
          <w:trHeight w:val="920" w:hRule="atLeast"/>
        </w:trPr>
        <w:tc>
          <w:tcPr>
            <w:tcW w:w="1858" w:type="dxa"/>
            <w:tcBorders>
              <w:top w:val="nil"/>
              <w:left w:val="single" w:color="auto" w:sz="8" w:space="0"/>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精神病与精神卫生临床进修</w:t>
            </w: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半年及以上</w:t>
            </w:r>
          </w:p>
        </w:tc>
        <w:tc>
          <w:tcPr>
            <w:tcW w:w="1560"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30</w:t>
            </w:r>
          </w:p>
        </w:tc>
        <w:tc>
          <w:tcPr>
            <w:tcW w:w="3402"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完成所有临床亚专业轮转学习，安排轮转</w:t>
            </w:r>
          </w:p>
        </w:tc>
      </w:tr>
      <w:tr>
        <w:trPr>
          <w:trHeight w:val="920" w:hRule="atLeast"/>
        </w:trPr>
        <w:tc>
          <w:tcPr>
            <w:tcW w:w="1858" w:type="dxa"/>
            <w:tcBorders>
              <w:top w:val="nil"/>
              <w:left w:val="single" w:color="auto" w:sz="8" w:space="0"/>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儿童青少年精神障碍诊治</w:t>
            </w: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半年；一年</w:t>
            </w:r>
          </w:p>
        </w:tc>
        <w:tc>
          <w:tcPr>
            <w:tcW w:w="1560"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30</w:t>
            </w:r>
          </w:p>
        </w:tc>
        <w:tc>
          <w:tcPr>
            <w:tcW w:w="3402"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固定儿童心理卫生中心轮转；不安排其他亚专业轮转</w:t>
            </w:r>
          </w:p>
        </w:tc>
      </w:tr>
      <w:tr>
        <w:trPr>
          <w:trHeight w:val="1220" w:hRule="atLeast"/>
        </w:trPr>
        <w:tc>
          <w:tcPr>
            <w:tcW w:w="1858" w:type="dxa"/>
            <w:tcBorders>
              <w:top w:val="nil"/>
              <w:left w:val="single" w:color="auto" w:sz="8" w:space="0"/>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精神科亚专科进修（非儿童青少年）</w:t>
            </w: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3个月及以上</w:t>
            </w:r>
          </w:p>
        </w:tc>
        <w:tc>
          <w:tcPr>
            <w:tcW w:w="1560"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20</w:t>
            </w:r>
          </w:p>
        </w:tc>
        <w:tc>
          <w:tcPr>
            <w:tcW w:w="3402"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固定进修某亚专业，例如心身或者老年病房，不安排其他亚专业轮转</w:t>
            </w:r>
          </w:p>
        </w:tc>
      </w:tr>
      <w:tr>
        <w:trPr>
          <w:trHeight w:val="920" w:hRule="atLeast"/>
        </w:trPr>
        <w:tc>
          <w:tcPr>
            <w:tcW w:w="1858" w:type="dxa"/>
            <w:tcBorders>
              <w:top w:val="nil"/>
              <w:left w:val="single" w:color="auto" w:sz="8" w:space="0"/>
              <w:bottom w:val="single" w:color="auto"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临床心理咨询与治疗进修</w:t>
            </w: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半年及以上</w:t>
            </w:r>
          </w:p>
        </w:tc>
        <w:tc>
          <w:tcPr>
            <w:tcW w:w="1560"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30</w:t>
            </w:r>
          </w:p>
        </w:tc>
        <w:tc>
          <w:tcPr>
            <w:tcW w:w="3402"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安排在病房及评估中心轮转</w:t>
            </w:r>
          </w:p>
        </w:tc>
      </w:tr>
      <w:tr>
        <w:trPr>
          <w:trHeight w:val="920" w:hRule="atLeast"/>
        </w:trPr>
        <w:tc>
          <w:tcPr>
            <w:tcW w:w="1858" w:type="dxa"/>
            <w:tcBorders>
              <w:top w:val="nil"/>
              <w:left w:val="single" w:color="auto" w:sz="8" w:space="0"/>
              <w:bottom w:val="single" w:color="auto" w:sz="8" w:space="0"/>
              <w:right w:val="single" w:color="auto" w:sz="8" w:space="0"/>
            </w:tcBorders>
            <w:shd w:val="clear" w:color="auto" w:fill="auto"/>
            <w:tcMar>
              <w:top w:w="15" w:type="dxa"/>
              <w:left w:w="15" w:type="dxa"/>
              <w:bottom w:w="0" w:type="dxa"/>
              <w:right w:w="15" w:type="dxa"/>
            </w:tcMar>
            <w:vAlign w:val="center"/>
          </w:tcPr>
          <w:p>
            <w:pPr>
              <w:rPr>
                <w:rFonts w:hint="default" w:ascii="仿宋_GB2312" w:hAnsi="宋体" w:eastAsia="仿宋_GB2312"/>
                <w:color w:val="000000"/>
                <w:sz w:val="28"/>
                <w:szCs w:val="28"/>
                <w:lang w:val="en-US"/>
              </w:rPr>
            </w:pPr>
            <w:r>
              <w:rPr>
                <w:rFonts w:hint="eastAsia" w:ascii="仿宋_GB2312" w:hAnsi="宋体" w:eastAsia="仿宋_GB2312"/>
                <w:color w:val="000000"/>
                <w:sz w:val="28"/>
                <w:szCs w:val="28"/>
                <w:lang w:val="en-US" w:eastAsia="zh-CN"/>
              </w:rPr>
              <w:t>临床心理咨询与治疗进修（儿童青少年）</w:t>
            </w: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hint="default" w:ascii="仿宋_GB2312" w:hAnsi="宋体" w:eastAsia="仿宋_GB2312"/>
                <w:color w:val="000000"/>
                <w:sz w:val="28"/>
                <w:szCs w:val="28"/>
                <w:lang w:val="en-US" w:eastAsia="zh-CN"/>
              </w:rPr>
            </w:pPr>
            <w:r>
              <w:rPr>
                <w:rFonts w:hint="eastAsia" w:ascii="仿宋_GB2312" w:hAnsi="宋体" w:eastAsia="仿宋_GB2312"/>
                <w:color w:val="000000"/>
                <w:sz w:val="28"/>
                <w:szCs w:val="28"/>
                <w:lang w:val="en-US" w:eastAsia="zh-CN"/>
              </w:rPr>
              <w:t>半年</w:t>
            </w:r>
            <w:r>
              <w:rPr>
                <w:rFonts w:hint="eastAsia" w:ascii="仿宋_GB2312" w:hAnsi="宋体" w:eastAsia="仿宋_GB2312"/>
                <w:color w:val="000000"/>
                <w:sz w:val="28"/>
                <w:szCs w:val="28"/>
              </w:rPr>
              <w:t>；一</w:t>
            </w:r>
            <w:bookmarkStart w:id="1" w:name="_GoBack"/>
            <w:bookmarkEnd w:id="1"/>
            <w:r>
              <w:rPr>
                <w:rFonts w:hint="eastAsia" w:ascii="仿宋_GB2312" w:hAnsi="宋体" w:eastAsia="仿宋_GB2312"/>
                <w:color w:val="000000"/>
                <w:sz w:val="28"/>
                <w:szCs w:val="28"/>
              </w:rPr>
              <w:t>年</w:t>
            </w:r>
          </w:p>
        </w:tc>
        <w:tc>
          <w:tcPr>
            <w:tcW w:w="1560"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hint="default" w:ascii="仿宋_GB2312" w:hAnsi="宋体" w:eastAsia="仿宋_GB2312"/>
                <w:color w:val="000000"/>
                <w:sz w:val="28"/>
                <w:szCs w:val="28"/>
                <w:lang w:val="en-US" w:eastAsia="zh-CN"/>
              </w:rPr>
            </w:pPr>
            <w:r>
              <w:rPr>
                <w:rFonts w:hint="eastAsia" w:ascii="仿宋_GB2312" w:hAnsi="宋体" w:eastAsia="仿宋_GB2312"/>
                <w:color w:val="000000"/>
                <w:sz w:val="28"/>
                <w:szCs w:val="28"/>
                <w:lang w:val="en-US" w:eastAsia="zh-CN"/>
              </w:rPr>
              <w:t>20</w:t>
            </w:r>
          </w:p>
        </w:tc>
        <w:tc>
          <w:tcPr>
            <w:tcW w:w="3402"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hint="default" w:ascii="仿宋_GB2312" w:hAnsi="宋体" w:eastAsia="仿宋_GB2312"/>
                <w:color w:val="000000"/>
                <w:sz w:val="28"/>
                <w:szCs w:val="28"/>
                <w:lang w:val="en-US" w:eastAsia="zh-CN"/>
              </w:rPr>
            </w:pPr>
            <w:r>
              <w:rPr>
                <w:rFonts w:hint="eastAsia" w:ascii="仿宋_GB2312" w:hAnsi="宋体" w:eastAsia="仿宋_GB2312"/>
                <w:color w:val="000000"/>
                <w:sz w:val="28"/>
                <w:szCs w:val="28"/>
                <w:lang w:val="en-US" w:eastAsia="zh-CN"/>
              </w:rPr>
              <w:t>安排在儿童心理中心轮转</w:t>
            </w:r>
          </w:p>
        </w:tc>
      </w:tr>
      <w:tr>
        <w:trPr>
          <w:trHeight w:val="920" w:hRule="atLeast"/>
        </w:trPr>
        <w:tc>
          <w:tcPr>
            <w:tcW w:w="1858" w:type="dxa"/>
            <w:tcBorders>
              <w:top w:val="nil"/>
              <w:left w:val="single" w:color="auto" w:sz="8" w:space="0"/>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临床心理评估进修</w:t>
            </w: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3个月及以上</w:t>
            </w:r>
          </w:p>
        </w:tc>
        <w:tc>
          <w:tcPr>
            <w:tcW w:w="1560"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10</w:t>
            </w:r>
          </w:p>
        </w:tc>
        <w:tc>
          <w:tcPr>
            <w:tcW w:w="3402"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固定进修心理评估中心，不安排其他亚专业轮转</w:t>
            </w:r>
          </w:p>
        </w:tc>
      </w:tr>
      <w:tr>
        <w:trPr>
          <w:trHeight w:val="920" w:hRule="atLeast"/>
        </w:trPr>
        <w:tc>
          <w:tcPr>
            <w:tcW w:w="1858" w:type="dxa"/>
            <w:tcBorders>
              <w:top w:val="nil"/>
              <w:left w:val="single" w:color="auto" w:sz="8" w:space="0"/>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脑功能检测与神经调控进修</w:t>
            </w: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半年及以上</w:t>
            </w:r>
          </w:p>
        </w:tc>
        <w:tc>
          <w:tcPr>
            <w:tcW w:w="1560"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20</w:t>
            </w:r>
          </w:p>
        </w:tc>
        <w:tc>
          <w:tcPr>
            <w:tcW w:w="3402"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固定进修脑功能检测与神经调控中心，不安排其他亚专业轮转</w:t>
            </w:r>
          </w:p>
        </w:tc>
      </w:tr>
      <w:tr>
        <w:trPr>
          <w:trHeight w:val="1220" w:hRule="atLeast"/>
        </w:trPr>
        <w:tc>
          <w:tcPr>
            <w:tcW w:w="1858" w:type="dxa"/>
            <w:tcBorders>
              <w:top w:val="nil"/>
              <w:left w:val="single" w:color="auto" w:sz="8" w:space="0"/>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临床科研</w:t>
            </w: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至少1年</w:t>
            </w:r>
          </w:p>
        </w:tc>
        <w:tc>
          <w:tcPr>
            <w:tcW w:w="1560"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10</w:t>
            </w:r>
          </w:p>
        </w:tc>
        <w:tc>
          <w:tcPr>
            <w:tcW w:w="3402"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jc w:val="center"/>
              <w:rPr>
                <w:rFonts w:ascii="仿宋_GB2312" w:hAnsi="宋体" w:eastAsia="仿宋_GB2312"/>
                <w:color w:val="000000"/>
                <w:sz w:val="28"/>
                <w:szCs w:val="28"/>
              </w:rPr>
            </w:pPr>
            <w:r>
              <w:rPr>
                <w:rFonts w:hint="eastAsia" w:ascii="仿宋_GB2312" w:hAnsi="宋体" w:eastAsia="仿宋_GB2312"/>
                <w:color w:val="000000"/>
                <w:sz w:val="28"/>
                <w:szCs w:val="28"/>
              </w:rPr>
              <w:t>上临床3个月，其他时间参与导师科研，提交并投递至少一篇论著</w:t>
            </w:r>
          </w:p>
        </w:tc>
      </w:tr>
    </w:tbl>
    <w:p>
      <w:pPr>
        <w:spacing w:line="360" w:lineRule="auto"/>
        <w:rPr>
          <w:rFonts w:ascii="仿宋_GB2312" w:eastAsia="仿宋_GB2312"/>
          <w:color w:val="000000"/>
          <w:sz w:val="28"/>
          <w:szCs w:val="28"/>
        </w:rPr>
      </w:pPr>
      <w:r>
        <w:rPr>
          <w:rFonts w:hint="eastAsia" w:ascii="仿宋_GB2312" w:eastAsia="仿宋_GB2312"/>
          <w:b/>
          <w:color w:val="000000"/>
          <w:sz w:val="28"/>
          <w:szCs w:val="28"/>
        </w:rPr>
        <w:t>附二：</w:t>
      </w:r>
      <w:r>
        <w:rPr>
          <w:rFonts w:hint="eastAsia" w:ascii="仿宋_GB2312" w:eastAsia="仿宋_GB2312"/>
          <w:color w:val="000000"/>
          <w:sz w:val="28"/>
          <w:szCs w:val="28"/>
        </w:rPr>
        <w:t>各进修专业培养方案</w:t>
      </w:r>
    </w:p>
    <w:p>
      <w:pPr>
        <w:spacing w:line="360" w:lineRule="auto"/>
        <w:rPr>
          <w:rFonts w:ascii="仿宋_GB2312" w:eastAsia="仿宋_GB2312"/>
          <w:color w:val="000000"/>
          <w:sz w:val="28"/>
          <w:szCs w:val="28"/>
        </w:rPr>
      </w:pPr>
    </w:p>
    <w:tbl>
      <w:tblPr>
        <w:tblStyle w:val="12"/>
        <w:tblW w:w="8379" w:type="dxa"/>
        <w:tblInd w:w="0" w:type="dxa"/>
        <w:tblLayout w:type="autofit"/>
        <w:tblCellMar>
          <w:top w:w="0" w:type="dxa"/>
          <w:left w:w="0" w:type="dxa"/>
          <w:bottom w:w="0" w:type="dxa"/>
          <w:right w:w="0" w:type="dxa"/>
        </w:tblCellMar>
      </w:tblPr>
      <w:tblGrid>
        <w:gridCol w:w="1575"/>
        <w:gridCol w:w="1701"/>
        <w:gridCol w:w="1701"/>
        <w:gridCol w:w="1559"/>
        <w:gridCol w:w="1843"/>
      </w:tblGrid>
      <w:tr>
        <w:trPr>
          <w:trHeight w:val="920" w:hRule="atLeast"/>
        </w:trPr>
        <w:tc>
          <w:tcPr>
            <w:tcW w:w="1575" w:type="dxa"/>
            <w:tcBorders>
              <w:top w:val="single" w:color="auto" w:sz="8" w:space="0"/>
              <w:left w:val="single" w:color="auto" w:sz="8" w:space="0"/>
              <w:bottom w:val="single" w:color="auto"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b/>
                <w:bCs/>
                <w:color w:val="000000"/>
                <w:sz w:val="28"/>
                <w:szCs w:val="28"/>
              </w:rPr>
            </w:pPr>
            <w:r>
              <w:rPr>
                <w:rFonts w:hint="eastAsia" w:ascii="仿宋_GB2312" w:hAnsi="宋体" w:eastAsia="仿宋_GB2312"/>
                <w:b/>
                <w:bCs/>
                <w:color w:val="000000"/>
                <w:sz w:val="28"/>
                <w:szCs w:val="28"/>
              </w:rPr>
              <w:t>进修专业</w:t>
            </w:r>
          </w:p>
        </w:tc>
        <w:tc>
          <w:tcPr>
            <w:tcW w:w="1701" w:type="dxa"/>
            <w:tcBorders>
              <w:top w:val="single" w:color="auto" w:sz="8" w:space="0"/>
              <w:left w:val="nil"/>
              <w:bottom w:val="single" w:color="auto"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b/>
                <w:bCs/>
                <w:color w:val="000000"/>
                <w:sz w:val="28"/>
                <w:szCs w:val="28"/>
              </w:rPr>
            </w:pPr>
            <w:r>
              <w:rPr>
                <w:rFonts w:hint="eastAsia" w:ascii="仿宋_GB2312" w:hAnsi="宋体" w:eastAsia="仿宋_GB2312"/>
                <w:b/>
                <w:bCs/>
                <w:color w:val="000000"/>
                <w:sz w:val="28"/>
                <w:szCs w:val="28"/>
              </w:rPr>
              <w:t>学习内容</w:t>
            </w:r>
          </w:p>
        </w:tc>
        <w:tc>
          <w:tcPr>
            <w:tcW w:w="1701" w:type="dxa"/>
            <w:tcBorders>
              <w:top w:val="single" w:color="auto" w:sz="8" w:space="0"/>
              <w:left w:val="nil"/>
              <w:bottom w:val="single" w:color="auto"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b/>
                <w:bCs/>
                <w:color w:val="000000"/>
                <w:sz w:val="28"/>
                <w:szCs w:val="28"/>
              </w:rPr>
            </w:pPr>
            <w:r>
              <w:rPr>
                <w:rFonts w:hint="eastAsia" w:ascii="仿宋_GB2312" w:hAnsi="宋体" w:eastAsia="仿宋_GB2312"/>
                <w:b/>
                <w:bCs/>
                <w:color w:val="000000"/>
                <w:sz w:val="28"/>
                <w:szCs w:val="28"/>
              </w:rPr>
              <w:t>带教方法</w:t>
            </w:r>
          </w:p>
        </w:tc>
        <w:tc>
          <w:tcPr>
            <w:tcW w:w="1559" w:type="dxa"/>
            <w:tcBorders>
              <w:top w:val="single" w:color="auto" w:sz="8" w:space="0"/>
              <w:left w:val="nil"/>
              <w:bottom w:val="single" w:color="auto"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b/>
                <w:bCs/>
                <w:color w:val="000000"/>
                <w:sz w:val="28"/>
                <w:szCs w:val="28"/>
              </w:rPr>
            </w:pPr>
            <w:r>
              <w:rPr>
                <w:rFonts w:hint="eastAsia" w:ascii="仿宋_GB2312" w:hAnsi="宋体" w:eastAsia="仿宋_GB2312"/>
                <w:b/>
                <w:bCs/>
                <w:color w:val="000000"/>
                <w:sz w:val="28"/>
                <w:szCs w:val="28"/>
              </w:rPr>
              <w:t>结业考核方式</w:t>
            </w:r>
          </w:p>
        </w:tc>
        <w:tc>
          <w:tcPr>
            <w:tcW w:w="1843" w:type="dxa"/>
            <w:tcBorders>
              <w:top w:val="single" w:color="auto" w:sz="8" w:space="0"/>
              <w:left w:val="nil"/>
              <w:bottom w:val="single" w:color="auto"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b/>
                <w:bCs/>
                <w:color w:val="000000"/>
                <w:sz w:val="28"/>
                <w:szCs w:val="28"/>
              </w:rPr>
            </w:pPr>
            <w:r>
              <w:rPr>
                <w:rFonts w:hint="eastAsia" w:ascii="仿宋_GB2312" w:hAnsi="宋体" w:eastAsia="仿宋_GB2312"/>
                <w:b/>
                <w:bCs/>
                <w:color w:val="000000"/>
                <w:sz w:val="28"/>
                <w:szCs w:val="28"/>
              </w:rPr>
              <w:t>进修学习后应达到的水平</w:t>
            </w:r>
          </w:p>
        </w:tc>
      </w:tr>
      <w:tr>
        <w:trPr>
          <w:trHeight w:val="580" w:hRule="atLeast"/>
        </w:trPr>
        <w:tc>
          <w:tcPr>
            <w:tcW w:w="1575"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儿少精神病学</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理论学习，临床实践</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导师制</w:t>
            </w:r>
          </w:p>
        </w:tc>
        <w:tc>
          <w:tcPr>
            <w:tcW w:w="1559" w:type="dxa"/>
            <w:tcBorders>
              <w:top w:val="nil"/>
              <w:left w:val="nil"/>
              <w:bottom w:val="nil"/>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理论考试</w:t>
            </w:r>
          </w:p>
        </w:tc>
        <w:tc>
          <w:tcPr>
            <w:tcW w:w="1843"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专科主治医生水平</w:t>
            </w:r>
          </w:p>
        </w:tc>
      </w:tr>
      <w:tr>
        <w:trPr>
          <w:trHeight w:val="320" w:hRule="atLeast"/>
        </w:trPr>
        <w:tc>
          <w:tcPr>
            <w:tcW w:w="1575"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病例考核</w:t>
            </w:r>
          </w:p>
        </w:tc>
        <w:tc>
          <w:tcPr>
            <w:tcW w:w="1843"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r>
      <w:tr>
        <w:trPr>
          <w:trHeight w:val="580" w:hRule="atLeast"/>
        </w:trPr>
        <w:tc>
          <w:tcPr>
            <w:tcW w:w="1575"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心身医学与联络会诊</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理论学习，临床实践</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导师制</w:t>
            </w:r>
          </w:p>
        </w:tc>
        <w:tc>
          <w:tcPr>
            <w:tcW w:w="1559" w:type="dxa"/>
            <w:tcBorders>
              <w:top w:val="nil"/>
              <w:left w:val="nil"/>
              <w:bottom w:val="nil"/>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理论考试</w:t>
            </w:r>
          </w:p>
        </w:tc>
        <w:tc>
          <w:tcPr>
            <w:tcW w:w="1843"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专科主治医生水平</w:t>
            </w:r>
          </w:p>
        </w:tc>
      </w:tr>
      <w:tr>
        <w:trPr>
          <w:trHeight w:val="320" w:hRule="atLeast"/>
        </w:trPr>
        <w:tc>
          <w:tcPr>
            <w:tcW w:w="1575"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病例考核</w:t>
            </w:r>
          </w:p>
        </w:tc>
        <w:tc>
          <w:tcPr>
            <w:tcW w:w="1843"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r>
      <w:tr>
        <w:trPr>
          <w:trHeight w:val="580" w:hRule="atLeast"/>
        </w:trPr>
        <w:tc>
          <w:tcPr>
            <w:tcW w:w="1575"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情绪障碍</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理论学习，临床实践</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导师制</w:t>
            </w:r>
          </w:p>
        </w:tc>
        <w:tc>
          <w:tcPr>
            <w:tcW w:w="1559" w:type="dxa"/>
            <w:tcBorders>
              <w:top w:val="nil"/>
              <w:left w:val="nil"/>
              <w:bottom w:val="nil"/>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理论考试</w:t>
            </w:r>
          </w:p>
        </w:tc>
        <w:tc>
          <w:tcPr>
            <w:tcW w:w="1843"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专科主治医生水平</w:t>
            </w:r>
          </w:p>
        </w:tc>
      </w:tr>
      <w:tr>
        <w:trPr>
          <w:trHeight w:val="320" w:hRule="atLeast"/>
        </w:trPr>
        <w:tc>
          <w:tcPr>
            <w:tcW w:w="1575"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病例考核</w:t>
            </w:r>
          </w:p>
        </w:tc>
        <w:tc>
          <w:tcPr>
            <w:tcW w:w="1843"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r>
      <w:tr>
        <w:trPr>
          <w:trHeight w:val="580" w:hRule="atLeast"/>
        </w:trPr>
        <w:tc>
          <w:tcPr>
            <w:tcW w:w="1575"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成年精神医学</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理论学习，临床实践</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导师制</w:t>
            </w:r>
          </w:p>
        </w:tc>
        <w:tc>
          <w:tcPr>
            <w:tcW w:w="1559" w:type="dxa"/>
            <w:tcBorders>
              <w:top w:val="nil"/>
              <w:left w:val="nil"/>
              <w:bottom w:val="nil"/>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理论考试</w:t>
            </w:r>
          </w:p>
        </w:tc>
        <w:tc>
          <w:tcPr>
            <w:tcW w:w="1843"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专科主治医生水平</w:t>
            </w:r>
          </w:p>
        </w:tc>
      </w:tr>
      <w:tr>
        <w:trPr>
          <w:trHeight w:val="320" w:hRule="atLeast"/>
        </w:trPr>
        <w:tc>
          <w:tcPr>
            <w:tcW w:w="1575"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病例考核</w:t>
            </w:r>
          </w:p>
        </w:tc>
        <w:tc>
          <w:tcPr>
            <w:tcW w:w="1843"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r>
      <w:tr>
        <w:trPr>
          <w:trHeight w:val="580" w:hRule="atLeast"/>
        </w:trPr>
        <w:tc>
          <w:tcPr>
            <w:tcW w:w="1575"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急重症精神医学</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理论学习，临床实践</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导师制</w:t>
            </w:r>
          </w:p>
        </w:tc>
        <w:tc>
          <w:tcPr>
            <w:tcW w:w="1559" w:type="dxa"/>
            <w:tcBorders>
              <w:top w:val="nil"/>
              <w:left w:val="nil"/>
              <w:bottom w:val="nil"/>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理论考试</w:t>
            </w:r>
          </w:p>
        </w:tc>
        <w:tc>
          <w:tcPr>
            <w:tcW w:w="1843"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专科主治医生水平</w:t>
            </w:r>
          </w:p>
        </w:tc>
      </w:tr>
      <w:tr>
        <w:trPr>
          <w:trHeight w:val="320" w:hRule="atLeast"/>
        </w:trPr>
        <w:tc>
          <w:tcPr>
            <w:tcW w:w="1575"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病例考核</w:t>
            </w:r>
          </w:p>
        </w:tc>
        <w:tc>
          <w:tcPr>
            <w:tcW w:w="1843"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r>
      <w:tr>
        <w:trPr>
          <w:trHeight w:val="580" w:hRule="atLeast"/>
        </w:trPr>
        <w:tc>
          <w:tcPr>
            <w:tcW w:w="1575"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物质依赖</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理论学习，临床实践</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导师制</w:t>
            </w:r>
          </w:p>
        </w:tc>
        <w:tc>
          <w:tcPr>
            <w:tcW w:w="1559" w:type="dxa"/>
            <w:tcBorders>
              <w:top w:val="nil"/>
              <w:left w:val="nil"/>
              <w:bottom w:val="nil"/>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理论考试</w:t>
            </w:r>
          </w:p>
        </w:tc>
        <w:tc>
          <w:tcPr>
            <w:tcW w:w="1843"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专科主治医生水平</w:t>
            </w:r>
          </w:p>
        </w:tc>
      </w:tr>
      <w:tr>
        <w:trPr>
          <w:trHeight w:val="320" w:hRule="atLeast"/>
        </w:trPr>
        <w:tc>
          <w:tcPr>
            <w:tcW w:w="1575"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病例考核</w:t>
            </w:r>
          </w:p>
        </w:tc>
        <w:tc>
          <w:tcPr>
            <w:tcW w:w="1843"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r>
      <w:tr>
        <w:trPr>
          <w:trHeight w:val="580" w:hRule="atLeast"/>
        </w:trPr>
        <w:tc>
          <w:tcPr>
            <w:tcW w:w="1575"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老年神经精神障碍</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理论学习，临床实践</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导师制</w:t>
            </w:r>
          </w:p>
        </w:tc>
        <w:tc>
          <w:tcPr>
            <w:tcW w:w="1559" w:type="dxa"/>
            <w:tcBorders>
              <w:top w:val="nil"/>
              <w:left w:val="nil"/>
              <w:bottom w:val="nil"/>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理论考试</w:t>
            </w:r>
          </w:p>
        </w:tc>
        <w:tc>
          <w:tcPr>
            <w:tcW w:w="1843"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专科主治医生水平</w:t>
            </w:r>
          </w:p>
        </w:tc>
      </w:tr>
      <w:tr>
        <w:trPr>
          <w:trHeight w:val="320" w:hRule="atLeast"/>
        </w:trPr>
        <w:tc>
          <w:tcPr>
            <w:tcW w:w="1575"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病例考核</w:t>
            </w:r>
          </w:p>
        </w:tc>
        <w:tc>
          <w:tcPr>
            <w:tcW w:w="1843"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r>
      <w:tr>
        <w:trPr>
          <w:trHeight w:val="580" w:hRule="atLeast"/>
        </w:trPr>
        <w:tc>
          <w:tcPr>
            <w:tcW w:w="1575"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临床心理咨询与治疗</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理论学习，临床实践</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导师制</w:t>
            </w:r>
          </w:p>
        </w:tc>
        <w:tc>
          <w:tcPr>
            <w:tcW w:w="1559" w:type="dxa"/>
            <w:tcBorders>
              <w:top w:val="nil"/>
              <w:left w:val="nil"/>
              <w:bottom w:val="nil"/>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理论考试</w:t>
            </w:r>
          </w:p>
        </w:tc>
        <w:tc>
          <w:tcPr>
            <w:tcW w:w="1843"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专科主治医生水平</w:t>
            </w:r>
          </w:p>
        </w:tc>
      </w:tr>
      <w:tr>
        <w:trPr>
          <w:trHeight w:val="320" w:hRule="atLeast"/>
        </w:trPr>
        <w:tc>
          <w:tcPr>
            <w:tcW w:w="1575"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病例考核</w:t>
            </w:r>
          </w:p>
        </w:tc>
        <w:tc>
          <w:tcPr>
            <w:tcW w:w="1843"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r>
      <w:tr>
        <w:trPr>
          <w:trHeight w:val="320" w:hRule="atLeast"/>
        </w:trPr>
        <w:tc>
          <w:tcPr>
            <w:tcW w:w="1575" w:type="dxa"/>
            <w:tcBorders>
              <w:top w:val="nil"/>
              <w:left w:val="single" w:color="auto" w:sz="8" w:space="0"/>
              <w:bottom w:val="single" w:color="000000" w:sz="8" w:space="0"/>
              <w:right w:val="single" w:color="auto" w:sz="8" w:space="0"/>
            </w:tcBorders>
            <w:vAlign w:val="center"/>
          </w:tcPr>
          <w:p>
            <w:pPr>
              <w:rPr>
                <w:rFonts w:hint="default" w:ascii="仿宋_GB2312" w:hAnsi="宋体" w:eastAsia="仿宋_GB2312"/>
                <w:color w:val="000000"/>
                <w:sz w:val="28"/>
                <w:szCs w:val="28"/>
                <w:lang w:val="en-US" w:eastAsia="zh-CN"/>
              </w:rPr>
            </w:pPr>
            <w:r>
              <w:rPr>
                <w:rFonts w:hint="eastAsia" w:ascii="仿宋_GB2312" w:hAnsi="宋体" w:eastAsia="仿宋_GB2312"/>
                <w:color w:val="000000"/>
                <w:sz w:val="28"/>
                <w:szCs w:val="28"/>
                <w:lang w:val="en-US" w:eastAsia="zh-CN"/>
              </w:rPr>
              <w:t>临床心理咨询与治疗（儿童青少年）</w:t>
            </w:r>
          </w:p>
        </w:tc>
        <w:tc>
          <w:tcPr>
            <w:tcW w:w="1701" w:type="dxa"/>
            <w:tcBorders>
              <w:top w:val="nil"/>
              <w:left w:val="single" w:color="auto" w:sz="8" w:space="0"/>
              <w:bottom w:val="single" w:color="000000" w:sz="8" w:space="0"/>
              <w:right w:val="single" w:color="auto" w:sz="8" w:space="0"/>
            </w:tcBorders>
            <w:vAlign w:val="center"/>
          </w:tcPr>
          <w:p>
            <w:pPr>
              <w:rPr>
                <w:rFonts w:hint="default" w:ascii="仿宋_GB2312" w:hAnsi="宋体" w:eastAsia="仿宋_GB2312"/>
                <w:color w:val="000000"/>
                <w:sz w:val="28"/>
                <w:szCs w:val="28"/>
                <w:lang w:val="en-US" w:eastAsia="zh-CN"/>
              </w:rPr>
            </w:pPr>
            <w:r>
              <w:rPr>
                <w:rFonts w:hint="eastAsia" w:ascii="仿宋_GB2312" w:hAnsi="宋体" w:eastAsia="仿宋_GB2312"/>
                <w:color w:val="000000"/>
                <w:sz w:val="28"/>
                <w:szCs w:val="28"/>
                <w:lang w:val="en-US" w:eastAsia="zh-CN"/>
              </w:rPr>
              <w:t>理论学习，临床实践</w:t>
            </w:r>
          </w:p>
        </w:tc>
        <w:tc>
          <w:tcPr>
            <w:tcW w:w="1701" w:type="dxa"/>
            <w:tcBorders>
              <w:top w:val="nil"/>
              <w:left w:val="single" w:color="auto" w:sz="8" w:space="0"/>
              <w:bottom w:val="single" w:color="000000" w:sz="8" w:space="0"/>
              <w:right w:val="single" w:color="auto" w:sz="8" w:space="0"/>
            </w:tcBorders>
            <w:vAlign w:val="center"/>
          </w:tcPr>
          <w:p>
            <w:pPr>
              <w:rPr>
                <w:rFonts w:hint="default" w:ascii="仿宋_GB2312" w:hAnsi="宋体" w:eastAsia="仿宋_GB2312"/>
                <w:color w:val="000000"/>
                <w:sz w:val="28"/>
                <w:szCs w:val="28"/>
                <w:lang w:val="en-US" w:eastAsia="zh-CN"/>
              </w:rPr>
            </w:pPr>
            <w:r>
              <w:rPr>
                <w:rFonts w:hint="eastAsia" w:ascii="仿宋_GB2312" w:hAnsi="宋体" w:eastAsia="仿宋_GB2312"/>
                <w:color w:val="000000"/>
                <w:sz w:val="28"/>
                <w:szCs w:val="28"/>
                <w:lang w:val="en-US" w:eastAsia="zh-CN"/>
              </w:rPr>
              <w:t>导师制</w:t>
            </w: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rPr>
                <w:rFonts w:hint="eastAsia" w:ascii="仿宋_GB2312" w:hAnsi="宋体" w:eastAsia="仿宋_GB2312"/>
                <w:color w:val="000000"/>
                <w:sz w:val="28"/>
                <w:szCs w:val="28"/>
                <w:lang w:val="en-US" w:eastAsia="zh-CN"/>
              </w:rPr>
            </w:pPr>
            <w:r>
              <w:rPr>
                <w:rFonts w:hint="eastAsia" w:ascii="仿宋_GB2312" w:hAnsi="宋体" w:eastAsia="仿宋_GB2312"/>
                <w:color w:val="000000"/>
                <w:sz w:val="28"/>
                <w:szCs w:val="28"/>
                <w:lang w:val="en-US" w:eastAsia="zh-CN"/>
              </w:rPr>
              <w:t>理论考试</w:t>
            </w:r>
          </w:p>
          <w:p>
            <w:pPr>
              <w:rPr>
                <w:rFonts w:hint="default" w:ascii="仿宋_GB2312" w:hAnsi="宋体" w:eastAsia="仿宋_GB2312"/>
                <w:color w:val="000000"/>
                <w:sz w:val="28"/>
                <w:szCs w:val="28"/>
                <w:lang w:val="en-US" w:eastAsia="zh-CN"/>
              </w:rPr>
            </w:pPr>
            <w:r>
              <w:rPr>
                <w:rFonts w:hint="eastAsia" w:ascii="仿宋_GB2312" w:hAnsi="宋体" w:eastAsia="仿宋_GB2312"/>
                <w:color w:val="000000"/>
                <w:sz w:val="28"/>
                <w:szCs w:val="28"/>
                <w:lang w:val="en-US" w:eastAsia="zh-CN"/>
              </w:rPr>
              <w:t>病例考核</w:t>
            </w:r>
          </w:p>
        </w:tc>
        <w:tc>
          <w:tcPr>
            <w:tcW w:w="1843" w:type="dxa"/>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专科主治医生水平</w:t>
            </w:r>
          </w:p>
        </w:tc>
      </w:tr>
      <w:tr>
        <w:trPr>
          <w:trHeight w:val="580" w:hRule="atLeast"/>
        </w:trPr>
        <w:tc>
          <w:tcPr>
            <w:tcW w:w="1575"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临床心理评估</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理论学习，临床实践</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导师制</w:t>
            </w:r>
          </w:p>
        </w:tc>
        <w:tc>
          <w:tcPr>
            <w:tcW w:w="1559" w:type="dxa"/>
            <w:tcBorders>
              <w:top w:val="nil"/>
              <w:left w:val="nil"/>
              <w:bottom w:val="nil"/>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理论考试</w:t>
            </w:r>
          </w:p>
        </w:tc>
        <w:tc>
          <w:tcPr>
            <w:tcW w:w="1843"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专科主治医生水平</w:t>
            </w:r>
          </w:p>
        </w:tc>
      </w:tr>
      <w:tr>
        <w:trPr>
          <w:trHeight w:val="320" w:hRule="atLeast"/>
        </w:trPr>
        <w:tc>
          <w:tcPr>
            <w:tcW w:w="1575"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病例考核</w:t>
            </w:r>
          </w:p>
        </w:tc>
        <w:tc>
          <w:tcPr>
            <w:tcW w:w="1843"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r>
      <w:tr>
        <w:trPr>
          <w:trHeight w:val="580" w:hRule="atLeast"/>
        </w:trPr>
        <w:tc>
          <w:tcPr>
            <w:tcW w:w="1575"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脑功能检测与神经调控</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理论学习，临床实践</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导师制</w:t>
            </w:r>
          </w:p>
        </w:tc>
        <w:tc>
          <w:tcPr>
            <w:tcW w:w="1559" w:type="dxa"/>
            <w:tcBorders>
              <w:top w:val="nil"/>
              <w:left w:val="nil"/>
              <w:bottom w:val="nil"/>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理论考试</w:t>
            </w:r>
          </w:p>
        </w:tc>
        <w:tc>
          <w:tcPr>
            <w:tcW w:w="1843"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专科主治医生水平</w:t>
            </w:r>
          </w:p>
        </w:tc>
      </w:tr>
      <w:tr>
        <w:trPr>
          <w:trHeight w:val="320" w:hRule="atLeast"/>
        </w:trPr>
        <w:tc>
          <w:tcPr>
            <w:tcW w:w="1575"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559"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病例考核</w:t>
            </w:r>
          </w:p>
        </w:tc>
        <w:tc>
          <w:tcPr>
            <w:tcW w:w="1843"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r>
      <w:tr>
        <w:trPr>
          <w:trHeight w:val="300" w:hRule="atLeast"/>
        </w:trPr>
        <w:tc>
          <w:tcPr>
            <w:tcW w:w="1575"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临床科研</w:t>
            </w:r>
          </w:p>
        </w:tc>
        <w:tc>
          <w:tcPr>
            <w:tcW w:w="1701"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科研方法学习，论著撰写</w:t>
            </w:r>
          </w:p>
        </w:tc>
        <w:tc>
          <w:tcPr>
            <w:tcW w:w="1701" w:type="dxa"/>
            <w:tcBorders>
              <w:top w:val="nil"/>
              <w:left w:val="nil"/>
              <w:bottom w:val="nil"/>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导师制</w:t>
            </w:r>
          </w:p>
        </w:tc>
        <w:tc>
          <w:tcPr>
            <w:tcW w:w="1559"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撰写和投送论文</w:t>
            </w:r>
          </w:p>
        </w:tc>
        <w:tc>
          <w:tcPr>
            <w:tcW w:w="1843" w:type="dxa"/>
            <w:vMerge w:val="restart"/>
            <w:tcBorders>
              <w:top w:val="nil"/>
              <w:left w:val="single" w:color="auto" w:sz="8" w:space="0"/>
              <w:bottom w:val="single" w:color="000000"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进修期间或毕业后以导师单位为通讯作者发表至少一篇论著</w:t>
            </w:r>
          </w:p>
        </w:tc>
      </w:tr>
      <w:tr>
        <w:trPr>
          <w:trHeight w:val="2720" w:hRule="atLeast"/>
        </w:trPr>
        <w:tc>
          <w:tcPr>
            <w:tcW w:w="1575"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701" w:type="dxa"/>
            <w:tcBorders>
              <w:top w:val="nil"/>
              <w:left w:val="nil"/>
              <w:bottom w:val="single" w:color="auto" w:sz="8" w:space="0"/>
              <w:right w:val="single" w:color="auto" w:sz="8" w:space="0"/>
            </w:tcBorders>
            <w:shd w:val="clear" w:color="auto" w:fill="auto"/>
            <w:tcMar>
              <w:top w:w="15" w:type="dxa"/>
              <w:left w:w="15" w:type="dxa"/>
              <w:bottom w:w="0" w:type="dxa"/>
              <w:right w:w="15" w:type="dxa"/>
            </w:tcMar>
            <w:vAlign w:val="center"/>
          </w:tcPr>
          <w:p>
            <w:pPr>
              <w:rPr>
                <w:rFonts w:ascii="仿宋_GB2312" w:hAnsi="宋体" w:eastAsia="仿宋_GB2312"/>
                <w:color w:val="000000"/>
                <w:sz w:val="28"/>
                <w:szCs w:val="28"/>
              </w:rPr>
            </w:pPr>
            <w:r>
              <w:rPr>
                <w:rFonts w:hint="eastAsia" w:ascii="仿宋_GB2312" w:hAnsi="宋体" w:eastAsia="仿宋_GB2312"/>
                <w:color w:val="000000"/>
                <w:sz w:val="28"/>
                <w:szCs w:val="28"/>
              </w:rPr>
              <w:t>临床心理（评估和治疗）、儿童/老年专业、精神行为、心身、物质依赖等</w:t>
            </w:r>
          </w:p>
        </w:tc>
        <w:tc>
          <w:tcPr>
            <w:tcW w:w="1559"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c>
          <w:tcPr>
            <w:tcW w:w="1843" w:type="dxa"/>
            <w:vMerge w:val="continue"/>
            <w:tcBorders>
              <w:top w:val="nil"/>
              <w:left w:val="single" w:color="auto" w:sz="8" w:space="0"/>
              <w:bottom w:val="single" w:color="000000" w:sz="8" w:space="0"/>
              <w:right w:val="single" w:color="auto" w:sz="8" w:space="0"/>
            </w:tcBorders>
            <w:vAlign w:val="center"/>
          </w:tcPr>
          <w:p>
            <w:pPr>
              <w:rPr>
                <w:rFonts w:ascii="仿宋_GB2312" w:hAnsi="宋体" w:eastAsia="仿宋_GB2312"/>
                <w:color w:val="000000"/>
                <w:sz w:val="28"/>
                <w:szCs w:val="28"/>
              </w:rPr>
            </w:pPr>
          </w:p>
        </w:tc>
      </w:tr>
    </w:tbl>
    <w:p>
      <w:pPr>
        <w:spacing w:line="360" w:lineRule="auto"/>
        <w:rPr>
          <w:rFonts w:ascii="仿宋_GB2312" w:eastAsia="仿宋_GB2312"/>
          <w:color w:val="000000"/>
          <w:sz w:val="28"/>
          <w:szCs w:val="28"/>
        </w:rPr>
      </w:pPr>
    </w:p>
    <w:p>
      <w:pPr>
        <w:spacing w:line="360" w:lineRule="auto"/>
        <w:rPr>
          <w:rFonts w:ascii="仿宋_GB2312" w:hAnsi="黑体" w:eastAsia="仿宋_GB2312"/>
          <w:b/>
          <w:color w:val="000000"/>
          <w:sz w:val="28"/>
          <w:szCs w:val="28"/>
        </w:rPr>
      </w:pPr>
      <w:r>
        <w:rPr>
          <w:rFonts w:hint="eastAsia" w:ascii="仿宋_GB2312" w:hAnsi="黑体" w:eastAsia="仿宋_GB2312"/>
          <w:b/>
          <w:color w:val="000000"/>
          <w:sz w:val="28"/>
          <w:szCs w:val="28"/>
        </w:rPr>
        <w:t>三、培养方案</w:t>
      </w:r>
    </w:p>
    <w:p>
      <w:pPr>
        <w:spacing w:line="360" w:lineRule="auto"/>
        <w:rPr>
          <w:rFonts w:ascii="仿宋_GB2312" w:hAnsi="宋体" w:eastAsia="仿宋_GB2312"/>
          <w:b/>
          <w:sz w:val="28"/>
          <w:szCs w:val="28"/>
        </w:rPr>
      </w:pPr>
      <w:r>
        <w:rPr>
          <w:rFonts w:hint="eastAsia" w:ascii="仿宋_GB2312" w:eastAsia="仿宋_GB2312"/>
          <w:color w:val="000000"/>
          <w:sz w:val="28"/>
          <w:szCs w:val="28"/>
        </w:rPr>
        <w:t>1.</w:t>
      </w:r>
      <w:r>
        <w:rPr>
          <w:rFonts w:hint="eastAsia" w:ascii="仿宋_GB2312" w:hAnsi="宋体" w:eastAsia="仿宋_GB2312"/>
          <w:b/>
          <w:sz w:val="28"/>
          <w:szCs w:val="28"/>
        </w:rPr>
        <w:t xml:space="preserve"> 导师制带教模式</w:t>
      </w:r>
    </w:p>
    <w:p>
      <w:pPr>
        <w:spacing w:line="360" w:lineRule="auto"/>
        <w:ind w:firstLine="420" w:firstLineChars="150"/>
        <w:rPr>
          <w:rFonts w:ascii="仿宋_GB2312" w:hAnsi="宋体" w:eastAsia="仿宋_GB2312"/>
          <w:sz w:val="28"/>
          <w:szCs w:val="28"/>
        </w:rPr>
      </w:pPr>
      <w:r>
        <w:rPr>
          <w:rFonts w:hint="eastAsia" w:ascii="仿宋_GB2312" w:hAnsi="宋体" w:eastAsia="仿宋_GB2312"/>
          <w:sz w:val="28"/>
          <w:szCs w:val="28"/>
        </w:rPr>
        <w:t xml:space="preserve">建立进修医生导师制的目的是充分利用我中心临床医师和心理治疗师的学术资源，结合进修人员的学习需要，实施一对一的临床教学模式，在有限的进修时间内帮助进修人员获得最大程度的进步。同时也可有效提升进修人员归属感，改善其进修体验。 </w:t>
      </w:r>
    </w:p>
    <w:p>
      <w:pPr>
        <w:spacing w:line="360" w:lineRule="auto"/>
        <w:ind w:firstLine="280" w:firstLineChars="100"/>
        <w:rPr>
          <w:rFonts w:ascii="仿宋_GB2312" w:hAnsi="宋体" w:eastAsia="仿宋_GB2312"/>
          <w:b/>
          <w:sz w:val="28"/>
          <w:szCs w:val="28"/>
        </w:rPr>
      </w:pPr>
      <w:r>
        <w:rPr>
          <w:rFonts w:hint="eastAsia" w:ascii="仿宋_GB2312" w:hAnsi="宋体" w:eastAsia="仿宋_GB2312"/>
          <w:sz w:val="28"/>
          <w:szCs w:val="28"/>
        </w:rPr>
        <w:t xml:space="preserve">进修生导师负责协助所指导进修人员的专业思想教育，通过各种方式的辅导，力所能及地解答其过程中面临的各类专业困惑。包括专业课程学习、专业的前沿问题，帮助其制订可行的学习计划、拓宽其知识面， 避免了其进修学习的盲目性。对于有兴趣参与科研的进修人员，还可以给予其科研方面的指导。 </w:t>
      </w:r>
    </w:p>
    <w:p>
      <w:pPr>
        <w:spacing w:line="360" w:lineRule="auto"/>
        <w:rPr>
          <w:rFonts w:ascii="仿宋_GB2312" w:hAnsi="宋体" w:eastAsia="仿宋_GB2312"/>
          <w:b/>
          <w:sz w:val="28"/>
          <w:szCs w:val="28"/>
        </w:rPr>
      </w:pPr>
      <w:r>
        <w:rPr>
          <w:rFonts w:hint="eastAsia" w:ascii="仿宋_GB2312" w:hAnsi="宋体" w:eastAsia="仿宋_GB2312"/>
          <w:b/>
          <w:sz w:val="28"/>
          <w:szCs w:val="28"/>
        </w:rPr>
        <w:t>2. 学习内容</w:t>
      </w:r>
    </w:p>
    <w:p>
      <w:pPr>
        <w:spacing w:line="360" w:lineRule="auto"/>
        <w:rPr>
          <w:rFonts w:ascii="仿宋_GB2312" w:eastAsia="仿宋_GB2312"/>
          <w:color w:val="000000"/>
          <w:sz w:val="28"/>
          <w:szCs w:val="28"/>
        </w:rPr>
      </w:pPr>
      <w:r>
        <w:rPr>
          <w:rFonts w:hint="eastAsia" w:ascii="仿宋_GB2312" w:eastAsia="仿宋_GB2312"/>
          <w:color w:val="000000"/>
          <w:sz w:val="28"/>
          <w:szCs w:val="28"/>
        </w:rPr>
        <w:t xml:space="preserve">   包括精神科工作模式、精神科常见疾病的诊治、心理治疗与心理评估、临床科研思维的培养等。</w:t>
      </w:r>
    </w:p>
    <w:p>
      <w:pPr>
        <w:spacing w:line="360" w:lineRule="auto"/>
        <w:rPr>
          <w:rFonts w:ascii="仿宋_GB2312" w:hAnsi="宋体" w:eastAsia="仿宋_GB2312"/>
          <w:b/>
          <w:sz w:val="28"/>
          <w:szCs w:val="28"/>
        </w:rPr>
      </w:pPr>
      <w:r>
        <w:rPr>
          <w:rFonts w:hint="eastAsia" w:ascii="仿宋_GB2312" w:hAnsi="宋体" w:eastAsia="仿宋_GB2312"/>
          <w:b/>
          <w:sz w:val="28"/>
          <w:szCs w:val="28"/>
        </w:rPr>
        <w:t>3. 带教方法</w:t>
      </w:r>
    </w:p>
    <w:p>
      <w:pPr>
        <w:spacing w:line="360" w:lineRule="auto"/>
        <w:rPr>
          <w:rFonts w:ascii="仿宋_GB2312" w:eastAsia="仿宋_GB2312"/>
          <w:color w:val="000000"/>
          <w:sz w:val="28"/>
          <w:szCs w:val="28"/>
        </w:rPr>
      </w:pPr>
      <w:r>
        <w:rPr>
          <w:rFonts w:hint="eastAsia" w:ascii="仿宋_GB2312" w:eastAsia="仿宋_GB2312"/>
          <w:color w:val="000000"/>
          <w:sz w:val="28"/>
          <w:szCs w:val="28"/>
        </w:rPr>
        <w:t xml:space="preserve">   包括病房轮转学习、专题讲座（连续进行，立足于三基知识）、精神科前沿讲座（每年不少于20场）、疑难病例讨论、门诊跟诊等。</w:t>
      </w:r>
    </w:p>
    <w:p>
      <w:pPr>
        <w:spacing w:line="360" w:lineRule="auto"/>
        <w:rPr>
          <w:rFonts w:ascii="仿宋_GB2312" w:hAnsi="宋体" w:eastAsia="仿宋_GB2312"/>
          <w:b/>
          <w:sz w:val="28"/>
          <w:szCs w:val="28"/>
        </w:rPr>
      </w:pPr>
      <w:r>
        <w:rPr>
          <w:rFonts w:hint="eastAsia" w:ascii="仿宋_GB2312" w:hAnsi="宋体" w:eastAsia="仿宋_GB2312"/>
          <w:b/>
          <w:sz w:val="28"/>
          <w:szCs w:val="28"/>
        </w:rPr>
        <w:t>4.结业考核方式</w:t>
      </w:r>
    </w:p>
    <w:p>
      <w:pPr>
        <w:spacing w:line="360" w:lineRule="auto"/>
        <w:rPr>
          <w:rFonts w:ascii="仿宋_GB2312" w:eastAsia="仿宋_GB2312"/>
          <w:color w:val="000000"/>
          <w:sz w:val="28"/>
          <w:szCs w:val="28"/>
        </w:rPr>
      </w:pPr>
      <w:r>
        <w:rPr>
          <w:rFonts w:hint="eastAsia" w:ascii="仿宋_GB2312" w:eastAsia="仿宋_GB2312"/>
          <w:color w:val="000000"/>
          <w:sz w:val="28"/>
          <w:szCs w:val="28"/>
        </w:rPr>
        <w:t xml:space="preserve">   采用工作量统计和出科考核相结合的形式。每位进修学员均需完成一定的工作量并完成学习手册，由带教老师签字确认，科室统一考核是否达标；在完成进修前，科室组织统一考试，考试内容为精神疾病现状检查、治疗方案的制定等。</w:t>
      </w:r>
    </w:p>
    <w:p>
      <w:pPr>
        <w:spacing w:line="360" w:lineRule="auto"/>
        <w:rPr>
          <w:rFonts w:ascii="仿宋_GB2312" w:hAnsi="宋体" w:eastAsia="仿宋_GB2312"/>
          <w:b/>
          <w:sz w:val="28"/>
          <w:szCs w:val="28"/>
        </w:rPr>
      </w:pPr>
      <w:r>
        <w:rPr>
          <w:rFonts w:hint="eastAsia" w:ascii="仿宋_GB2312" w:hAnsi="宋体" w:eastAsia="仿宋_GB2312"/>
          <w:b/>
          <w:sz w:val="28"/>
          <w:szCs w:val="28"/>
        </w:rPr>
        <w:t>5.进修学习后应达到的水平</w:t>
      </w:r>
    </w:p>
    <w:p>
      <w:pPr>
        <w:spacing w:line="360" w:lineRule="auto"/>
        <w:rPr>
          <w:rFonts w:ascii="仿宋_GB2312" w:eastAsia="仿宋_GB2312"/>
          <w:color w:val="000000"/>
          <w:sz w:val="28"/>
          <w:szCs w:val="28"/>
        </w:rPr>
      </w:pPr>
      <w:r>
        <w:rPr>
          <w:rFonts w:hint="eastAsia" w:ascii="仿宋_GB2312" w:eastAsia="仿宋_GB2312"/>
          <w:color w:val="000000"/>
          <w:sz w:val="28"/>
          <w:szCs w:val="28"/>
        </w:rPr>
        <w:t xml:space="preserve">  熟练掌握精神科常见病、多发病的治疗规律；掌握心理治疗和心理评估的基本原理和技术；熟悉精神科科学研究的基本思路和方法。</w:t>
      </w:r>
    </w:p>
    <w:p>
      <w:pPr>
        <w:spacing w:line="360" w:lineRule="auto"/>
        <w:rPr>
          <w:rFonts w:ascii="仿宋_GB2312" w:hAnsi="黑体" w:eastAsia="仿宋_GB2312"/>
          <w:b/>
          <w:color w:val="000000"/>
          <w:sz w:val="28"/>
          <w:szCs w:val="28"/>
        </w:rPr>
      </w:pPr>
      <w:r>
        <w:rPr>
          <w:rFonts w:hint="eastAsia" w:ascii="仿宋_GB2312" w:hAnsi="黑体" w:eastAsia="仿宋_GB2312"/>
          <w:b/>
          <w:color w:val="000000"/>
          <w:sz w:val="28"/>
          <w:szCs w:val="28"/>
        </w:rPr>
        <w:t>四、进修学员资质要求</w:t>
      </w:r>
    </w:p>
    <w:p>
      <w:pPr>
        <w:spacing w:line="360" w:lineRule="auto"/>
        <w:rPr>
          <w:rFonts w:ascii="仿宋_GB2312" w:eastAsia="仿宋_GB2312"/>
          <w:b/>
          <w:color w:val="000000"/>
          <w:sz w:val="28"/>
          <w:szCs w:val="28"/>
        </w:rPr>
      </w:pPr>
      <w:r>
        <w:rPr>
          <w:rFonts w:hint="eastAsia" w:ascii="仿宋_GB2312" w:eastAsia="仿宋_GB2312"/>
          <w:b/>
          <w:color w:val="000000"/>
          <w:sz w:val="28"/>
          <w:szCs w:val="28"/>
        </w:rPr>
        <w:t>1. 精神科进修学员资质要求</w:t>
      </w:r>
    </w:p>
    <w:p>
      <w:pPr>
        <w:spacing w:line="360" w:lineRule="auto"/>
        <w:rPr>
          <w:rFonts w:ascii="仿宋_GB2312" w:eastAsia="仿宋_GB2312"/>
          <w:color w:val="000000"/>
          <w:sz w:val="28"/>
          <w:szCs w:val="28"/>
        </w:rPr>
      </w:pPr>
      <w:r>
        <w:rPr>
          <w:rFonts w:hint="eastAsia" w:ascii="仿宋_GB2312" w:eastAsia="仿宋_GB2312"/>
          <w:color w:val="000000"/>
          <w:sz w:val="28"/>
          <w:szCs w:val="28"/>
        </w:rPr>
        <w:t>a. 爱岗敬业，身体健康</w:t>
      </w:r>
    </w:p>
    <w:p>
      <w:pPr>
        <w:spacing w:line="360" w:lineRule="auto"/>
        <w:rPr>
          <w:rFonts w:ascii="仿宋_GB2312" w:eastAsia="仿宋_GB2312"/>
          <w:color w:val="000000"/>
          <w:sz w:val="28"/>
          <w:szCs w:val="28"/>
        </w:rPr>
      </w:pPr>
      <w:r>
        <w:rPr>
          <w:rFonts w:hint="eastAsia" w:ascii="仿宋_GB2312" w:eastAsia="仿宋_GB2312"/>
          <w:color w:val="000000"/>
          <w:sz w:val="28"/>
          <w:szCs w:val="28"/>
        </w:rPr>
        <w:t>b. 具有本科及以上学历和一定的临床工作经验，具有医师资格证和执业证</w:t>
      </w:r>
    </w:p>
    <w:p>
      <w:pPr>
        <w:spacing w:line="360" w:lineRule="auto"/>
        <w:rPr>
          <w:rFonts w:ascii="仿宋_GB2312" w:eastAsia="仿宋_GB2312"/>
          <w:color w:val="000000"/>
          <w:sz w:val="28"/>
          <w:szCs w:val="28"/>
        </w:rPr>
      </w:pPr>
      <w:r>
        <w:rPr>
          <w:rFonts w:hint="eastAsia" w:ascii="仿宋_GB2312" w:eastAsia="仿宋_GB2312"/>
          <w:color w:val="000000"/>
          <w:sz w:val="28"/>
          <w:szCs w:val="28"/>
        </w:rPr>
        <w:t>c. 推荐单位为卫计委备案的正规医疗机构</w:t>
      </w:r>
    </w:p>
    <w:p>
      <w:pPr>
        <w:spacing w:line="360" w:lineRule="auto"/>
        <w:rPr>
          <w:rFonts w:ascii="仿宋_GB2312" w:eastAsia="仿宋_GB2312"/>
          <w:b/>
          <w:color w:val="000000"/>
          <w:sz w:val="28"/>
          <w:szCs w:val="28"/>
        </w:rPr>
      </w:pPr>
      <w:r>
        <w:rPr>
          <w:rFonts w:hint="eastAsia" w:ascii="仿宋_GB2312" w:eastAsia="仿宋_GB2312"/>
          <w:b/>
          <w:color w:val="000000"/>
          <w:sz w:val="28"/>
          <w:szCs w:val="28"/>
        </w:rPr>
        <w:t>2. 临床心理咨询和治疗师进修学员资质要求</w:t>
      </w:r>
    </w:p>
    <w:p>
      <w:pPr>
        <w:spacing w:line="360" w:lineRule="auto"/>
        <w:rPr>
          <w:rFonts w:ascii="仿宋_GB2312" w:eastAsia="仿宋_GB2312"/>
          <w:color w:val="000000"/>
          <w:sz w:val="28"/>
          <w:szCs w:val="28"/>
        </w:rPr>
      </w:pPr>
      <w:r>
        <w:rPr>
          <w:rFonts w:hint="eastAsia" w:ascii="仿宋_GB2312" w:eastAsia="仿宋_GB2312"/>
          <w:color w:val="000000"/>
          <w:sz w:val="28"/>
          <w:szCs w:val="28"/>
        </w:rPr>
        <w:t>a. 爱岗敬业，身体健康</w:t>
      </w:r>
    </w:p>
    <w:p>
      <w:pPr>
        <w:spacing w:line="360" w:lineRule="auto"/>
        <w:rPr>
          <w:rFonts w:ascii="仿宋_GB2312" w:eastAsia="仿宋_GB2312"/>
          <w:color w:val="000000"/>
          <w:sz w:val="28"/>
          <w:szCs w:val="28"/>
        </w:rPr>
      </w:pPr>
      <w:r>
        <w:rPr>
          <w:rFonts w:hint="eastAsia" w:ascii="仿宋_GB2312" w:eastAsia="仿宋_GB2312"/>
          <w:color w:val="000000"/>
          <w:sz w:val="28"/>
          <w:szCs w:val="28"/>
        </w:rPr>
        <w:t>b. 具有大专以上学历和一定的工作经验，具有三级以上的心理咨询证和执业证</w:t>
      </w:r>
    </w:p>
    <w:p>
      <w:pPr>
        <w:spacing w:line="360" w:lineRule="auto"/>
        <w:rPr>
          <w:rFonts w:ascii="仿宋_GB2312" w:eastAsia="仿宋_GB2312"/>
          <w:color w:val="000000"/>
          <w:sz w:val="28"/>
          <w:szCs w:val="28"/>
        </w:rPr>
      </w:pPr>
      <w:r>
        <w:rPr>
          <w:rFonts w:hint="eastAsia" w:ascii="仿宋_GB2312" w:eastAsia="仿宋_GB2312"/>
          <w:color w:val="000000"/>
          <w:sz w:val="28"/>
          <w:szCs w:val="28"/>
        </w:rPr>
        <w:t>c. 推荐单位为工商或卫生行政正式备案的医疗或咨询服务机构</w:t>
      </w:r>
    </w:p>
    <w:p>
      <w:pPr>
        <w:spacing w:line="360" w:lineRule="auto"/>
        <w:rPr>
          <w:rFonts w:ascii="仿宋_GB2312" w:eastAsia="仿宋_GB2312"/>
          <w:color w:val="000000"/>
          <w:sz w:val="28"/>
          <w:szCs w:val="28"/>
        </w:rPr>
      </w:pPr>
      <w:r>
        <w:rPr>
          <w:rFonts w:hint="eastAsia" w:ascii="仿宋_GB2312" w:eastAsia="仿宋_GB2312"/>
          <w:b/>
          <w:bCs/>
          <w:color w:val="000000"/>
          <w:sz w:val="28"/>
          <w:szCs w:val="28"/>
        </w:rPr>
        <w:t>3.</w:t>
      </w:r>
      <w:r>
        <w:rPr>
          <w:rFonts w:hint="eastAsia" w:ascii="仿宋_GB2312" w:eastAsia="仿宋_GB2312"/>
          <w:color w:val="000000"/>
          <w:sz w:val="28"/>
          <w:szCs w:val="28"/>
        </w:rPr>
        <w:t xml:space="preserve"> </w:t>
      </w:r>
      <w:r>
        <w:rPr>
          <w:rFonts w:hint="eastAsia" w:ascii="仿宋_GB2312" w:eastAsia="仿宋_GB2312"/>
          <w:b/>
          <w:bCs/>
          <w:color w:val="000000"/>
          <w:sz w:val="28"/>
          <w:szCs w:val="28"/>
        </w:rPr>
        <w:t>临床科研</w:t>
      </w:r>
    </w:p>
    <w:p>
      <w:pPr>
        <w:spacing w:line="360" w:lineRule="auto"/>
        <w:rPr>
          <w:rFonts w:ascii="仿宋_GB2312" w:eastAsia="仿宋_GB2312"/>
          <w:color w:val="000000"/>
          <w:sz w:val="28"/>
          <w:szCs w:val="28"/>
        </w:rPr>
      </w:pPr>
      <w:r>
        <w:rPr>
          <w:rFonts w:hint="eastAsia" w:ascii="仿宋_GB2312" w:eastAsia="仿宋_GB2312"/>
          <w:color w:val="000000"/>
          <w:sz w:val="28"/>
          <w:szCs w:val="28"/>
        </w:rPr>
        <w:t xml:space="preserve">a. 具有较强的临床科研能力以及临床科研热情 </w:t>
      </w:r>
    </w:p>
    <w:p>
      <w:pPr>
        <w:spacing w:line="360" w:lineRule="auto"/>
        <w:rPr>
          <w:rFonts w:ascii="仿宋_GB2312" w:eastAsia="仿宋_GB2312"/>
          <w:color w:val="000000"/>
          <w:sz w:val="28"/>
          <w:szCs w:val="28"/>
        </w:rPr>
      </w:pPr>
      <w:r>
        <w:rPr>
          <w:rFonts w:hint="eastAsia" w:ascii="仿宋_GB2312" w:eastAsia="仿宋_GB2312"/>
          <w:color w:val="000000"/>
          <w:sz w:val="28"/>
          <w:szCs w:val="28"/>
        </w:rPr>
        <w:t>b. 本科以上学历</w:t>
      </w:r>
    </w:p>
    <w:p>
      <w:pPr>
        <w:spacing w:line="360" w:lineRule="auto"/>
        <w:rPr>
          <w:rFonts w:ascii="仿宋_GB2312" w:eastAsia="仿宋_GB2312"/>
          <w:color w:val="000000"/>
          <w:sz w:val="28"/>
          <w:szCs w:val="28"/>
        </w:rPr>
      </w:pPr>
      <w:r>
        <w:rPr>
          <w:rFonts w:hint="eastAsia" w:ascii="仿宋_GB2312" w:eastAsia="仿宋_GB2312"/>
          <w:color w:val="000000"/>
          <w:sz w:val="28"/>
          <w:szCs w:val="28"/>
        </w:rPr>
        <w:t>c. 推荐单位为医疗机构、学校和科研院所等</w:t>
      </w:r>
    </w:p>
    <w:p>
      <w:pPr>
        <w:spacing w:line="360" w:lineRule="auto"/>
        <w:rPr>
          <w:rFonts w:ascii="仿宋_GB2312" w:eastAsia="仿宋_GB2312"/>
          <w:b/>
          <w:bCs/>
          <w:sz w:val="28"/>
          <w:szCs w:val="28"/>
        </w:rPr>
      </w:pPr>
      <w:r>
        <w:rPr>
          <w:rFonts w:ascii="仿宋_GB2312" w:eastAsia="仿宋_GB2312"/>
          <w:b/>
          <w:bCs/>
          <w:sz w:val="28"/>
          <w:szCs w:val="28"/>
        </w:rPr>
        <w:t>44</w:t>
      </w:r>
      <w:r>
        <w:rPr>
          <w:rFonts w:hint="eastAsia" w:ascii="仿宋_GB2312" w:eastAsia="仿宋_GB2312"/>
          <w:b/>
          <w:bCs/>
          <w:sz w:val="28"/>
          <w:szCs w:val="28"/>
        </w:rPr>
        <w:t>.</w:t>
      </w:r>
      <w:r>
        <w:rPr>
          <w:rFonts w:ascii="仿宋_GB2312" w:eastAsia="仿宋_GB2312"/>
          <w:b/>
          <w:bCs/>
          <w:sz w:val="28"/>
          <w:szCs w:val="28"/>
        </w:rPr>
        <w:t xml:space="preserve"> </w:t>
      </w:r>
      <w:r>
        <w:rPr>
          <w:rFonts w:hint="eastAsia" w:ascii="仿宋_GB2312" w:eastAsia="仿宋_GB2312"/>
          <w:b/>
          <w:bCs/>
          <w:sz w:val="28"/>
          <w:szCs w:val="28"/>
        </w:rPr>
        <w:t>脑功能检测与神经调控</w:t>
      </w:r>
    </w:p>
    <w:p>
      <w:pPr>
        <w:spacing w:line="360" w:lineRule="auto"/>
        <w:rPr>
          <w:rFonts w:ascii="仿宋_GB2312" w:eastAsia="仿宋_GB2312"/>
          <w:color w:val="000000"/>
          <w:sz w:val="28"/>
          <w:szCs w:val="28"/>
        </w:rPr>
      </w:pPr>
      <w:r>
        <w:rPr>
          <w:rFonts w:hint="eastAsia" w:ascii="仿宋_GB2312" w:eastAsia="仿宋_GB2312"/>
          <w:color w:val="000000"/>
          <w:sz w:val="28"/>
          <w:szCs w:val="28"/>
        </w:rPr>
        <w:t>a.具有大专以上学历和一定的临床工作经验，具有医师、技师或护士资格证和执业证；</w:t>
      </w:r>
    </w:p>
    <w:p>
      <w:pPr>
        <w:spacing w:line="360" w:lineRule="auto"/>
        <w:rPr>
          <w:rFonts w:ascii="仿宋_GB2312" w:eastAsia="仿宋_GB2312"/>
          <w:color w:val="000000"/>
          <w:sz w:val="28"/>
          <w:szCs w:val="28"/>
        </w:rPr>
      </w:pPr>
      <w:r>
        <w:rPr>
          <w:rFonts w:hint="eastAsia" w:ascii="仿宋_GB2312" w:eastAsia="仿宋_GB2312"/>
          <w:color w:val="000000"/>
          <w:sz w:val="28"/>
          <w:szCs w:val="28"/>
        </w:rPr>
        <w:t>b.推荐单位为医疗机构、学校和科研院所。</w:t>
      </w:r>
    </w:p>
    <w:p>
      <w:pPr>
        <w:spacing w:line="360" w:lineRule="auto"/>
        <w:rPr>
          <w:rFonts w:ascii="仿宋_GB2312" w:eastAsia="仿宋_GB2312"/>
          <w:b/>
          <w:sz w:val="28"/>
          <w:szCs w:val="28"/>
        </w:rPr>
      </w:pPr>
      <w:r>
        <w:rPr>
          <w:rFonts w:hint="eastAsia" w:ascii="仿宋_GB2312" w:eastAsia="仿宋_GB2312"/>
          <w:sz w:val="28"/>
          <w:szCs w:val="28"/>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embedRegular r:id="rId1" w:fontKey="{A3E2B48B-2219-31E7-AB7E-8B662E8879CC}"/>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iti SC Light">
    <w:panose1 w:val="02000000000000000000"/>
    <w:charset w:val="50"/>
    <w:family w:val="auto"/>
    <w:pitch w:val="default"/>
    <w:sig w:usb0="8000002F" w:usb1="0800004A" w:usb2="00000000" w:usb3="00000000" w:csb0="203E0000" w:csb1="00000000"/>
  </w:font>
  <w:font w:name="方正小标宋简体">
    <w:altName w:val="汉仪书宋二KW"/>
    <w:panose1 w:val="00000000000000000000"/>
    <w:charset w:val="86"/>
    <w:family w:val="auto"/>
    <w:pitch w:val="default"/>
    <w:sig w:usb0="00000000" w:usb1="00000000" w:usb2="00000000" w:usb3="00000000" w:csb0="00040000" w:csb1="00000000"/>
  </w:font>
  <w:font w:name="仿宋_GB2312">
    <w:altName w:val="方正仿宋_GBK"/>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1ZjUxNTJkYzFiZDExY2M0ZGNiNTFhMTg5ZDNiYzEifQ=="/>
  </w:docVars>
  <w:rsids>
    <w:rsidRoot w:val="00EF7204"/>
    <w:rsid w:val="0000239F"/>
    <w:rsid w:val="00012C4A"/>
    <w:rsid w:val="00016638"/>
    <w:rsid w:val="00025CCA"/>
    <w:rsid w:val="00050752"/>
    <w:rsid w:val="00071B9E"/>
    <w:rsid w:val="00087C93"/>
    <w:rsid w:val="00093503"/>
    <w:rsid w:val="000A613A"/>
    <w:rsid w:val="000D5BC9"/>
    <w:rsid w:val="000F636D"/>
    <w:rsid w:val="001007AF"/>
    <w:rsid w:val="0010215B"/>
    <w:rsid w:val="00121CAA"/>
    <w:rsid w:val="0013462D"/>
    <w:rsid w:val="001B0C12"/>
    <w:rsid w:val="001B61B6"/>
    <w:rsid w:val="002402DB"/>
    <w:rsid w:val="00255E84"/>
    <w:rsid w:val="00257283"/>
    <w:rsid w:val="002629A9"/>
    <w:rsid w:val="0027237F"/>
    <w:rsid w:val="00280681"/>
    <w:rsid w:val="00282112"/>
    <w:rsid w:val="00302986"/>
    <w:rsid w:val="00306091"/>
    <w:rsid w:val="00306FA8"/>
    <w:rsid w:val="00336BB7"/>
    <w:rsid w:val="003537CE"/>
    <w:rsid w:val="00354375"/>
    <w:rsid w:val="00355E97"/>
    <w:rsid w:val="00361D56"/>
    <w:rsid w:val="00370018"/>
    <w:rsid w:val="003731A6"/>
    <w:rsid w:val="003956D5"/>
    <w:rsid w:val="003A7408"/>
    <w:rsid w:val="003B04E8"/>
    <w:rsid w:val="003B79D6"/>
    <w:rsid w:val="003C2E6B"/>
    <w:rsid w:val="003C4525"/>
    <w:rsid w:val="003F4A17"/>
    <w:rsid w:val="00404D0A"/>
    <w:rsid w:val="00410F3B"/>
    <w:rsid w:val="00416014"/>
    <w:rsid w:val="00417679"/>
    <w:rsid w:val="004274A6"/>
    <w:rsid w:val="00434454"/>
    <w:rsid w:val="00460601"/>
    <w:rsid w:val="004839EF"/>
    <w:rsid w:val="0049426D"/>
    <w:rsid w:val="004959D5"/>
    <w:rsid w:val="004A0265"/>
    <w:rsid w:val="004B5D66"/>
    <w:rsid w:val="004E3BAA"/>
    <w:rsid w:val="00500F3E"/>
    <w:rsid w:val="005306B1"/>
    <w:rsid w:val="00532B24"/>
    <w:rsid w:val="00556771"/>
    <w:rsid w:val="00560915"/>
    <w:rsid w:val="0056121D"/>
    <w:rsid w:val="00562BF7"/>
    <w:rsid w:val="005C6009"/>
    <w:rsid w:val="005D357C"/>
    <w:rsid w:val="005E3C6D"/>
    <w:rsid w:val="005E6AA4"/>
    <w:rsid w:val="00615701"/>
    <w:rsid w:val="006165A7"/>
    <w:rsid w:val="0062372D"/>
    <w:rsid w:val="00637543"/>
    <w:rsid w:val="0065792C"/>
    <w:rsid w:val="00662BC4"/>
    <w:rsid w:val="006801C4"/>
    <w:rsid w:val="00682E0C"/>
    <w:rsid w:val="006A0093"/>
    <w:rsid w:val="006A0C75"/>
    <w:rsid w:val="006A3AF9"/>
    <w:rsid w:val="006B5755"/>
    <w:rsid w:val="006B6F8D"/>
    <w:rsid w:val="006D3F6A"/>
    <w:rsid w:val="006D4E34"/>
    <w:rsid w:val="006D6B0E"/>
    <w:rsid w:val="006F3DBC"/>
    <w:rsid w:val="006F4DDA"/>
    <w:rsid w:val="0071135B"/>
    <w:rsid w:val="00717A52"/>
    <w:rsid w:val="0072091C"/>
    <w:rsid w:val="007245C6"/>
    <w:rsid w:val="00732D5B"/>
    <w:rsid w:val="00764065"/>
    <w:rsid w:val="00772FEF"/>
    <w:rsid w:val="00773506"/>
    <w:rsid w:val="007C3E85"/>
    <w:rsid w:val="007D09DB"/>
    <w:rsid w:val="007E543E"/>
    <w:rsid w:val="00826816"/>
    <w:rsid w:val="00837022"/>
    <w:rsid w:val="008603CF"/>
    <w:rsid w:val="008610D8"/>
    <w:rsid w:val="008633D9"/>
    <w:rsid w:val="00865D5C"/>
    <w:rsid w:val="00897EA6"/>
    <w:rsid w:val="008A2FD6"/>
    <w:rsid w:val="008B1B61"/>
    <w:rsid w:val="008C2B81"/>
    <w:rsid w:val="008D3560"/>
    <w:rsid w:val="008E0421"/>
    <w:rsid w:val="008E4FE1"/>
    <w:rsid w:val="008E5BC2"/>
    <w:rsid w:val="00912D98"/>
    <w:rsid w:val="00920B5B"/>
    <w:rsid w:val="00927801"/>
    <w:rsid w:val="00931339"/>
    <w:rsid w:val="00931AD1"/>
    <w:rsid w:val="00950CF5"/>
    <w:rsid w:val="0096193F"/>
    <w:rsid w:val="00965B9C"/>
    <w:rsid w:val="00980A25"/>
    <w:rsid w:val="009A1407"/>
    <w:rsid w:val="009A2EB3"/>
    <w:rsid w:val="009B44D4"/>
    <w:rsid w:val="009C155D"/>
    <w:rsid w:val="009D3292"/>
    <w:rsid w:val="009E70D8"/>
    <w:rsid w:val="00A03BA6"/>
    <w:rsid w:val="00A12F07"/>
    <w:rsid w:val="00A35119"/>
    <w:rsid w:val="00A507BC"/>
    <w:rsid w:val="00A83EE3"/>
    <w:rsid w:val="00AA2FE3"/>
    <w:rsid w:val="00AC6E65"/>
    <w:rsid w:val="00AE0D7A"/>
    <w:rsid w:val="00AF3A5B"/>
    <w:rsid w:val="00B01527"/>
    <w:rsid w:val="00B12FDA"/>
    <w:rsid w:val="00B20EB0"/>
    <w:rsid w:val="00B607CA"/>
    <w:rsid w:val="00B64287"/>
    <w:rsid w:val="00B64E20"/>
    <w:rsid w:val="00B720D5"/>
    <w:rsid w:val="00B80F39"/>
    <w:rsid w:val="00B913B9"/>
    <w:rsid w:val="00B97C9B"/>
    <w:rsid w:val="00BA79DA"/>
    <w:rsid w:val="00BB37AA"/>
    <w:rsid w:val="00BE43B2"/>
    <w:rsid w:val="00BF18C2"/>
    <w:rsid w:val="00C124CF"/>
    <w:rsid w:val="00C17972"/>
    <w:rsid w:val="00C34E57"/>
    <w:rsid w:val="00C5716D"/>
    <w:rsid w:val="00C61EE6"/>
    <w:rsid w:val="00C64EEC"/>
    <w:rsid w:val="00C8091E"/>
    <w:rsid w:val="00CA0A38"/>
    <w:rsid w:val="00CA2592"/>
    <w:rsid w:val="00CE221A"/>
    <w:rsid w:val="00CE2BBF"/>
    <w:rsid w:val="00CE78C6"/>
    <w:rsid w:val="00D01ED1"/>
    <w:rsid w:val="00D428E2"/>
    <w:rsid w:val="00D54584"/>
    <w:rsid w:val="00D55A67"/>
    <w:rsid w:val="00D63058"/>
    <w:rsid w:val="00D85F75"/>
    <w:rsid w:val="00D9004D"/>
    <w:rsid w:val="00D90B51"/>
    <w:rsid w:val="00D957BB"/>
    <w:rsid w:val="00DA18FB"/>
    <w:rsid w:val="00DB17E7"/>
    <w:rsid w:val="00DB654E"/>
    <w:rsid w:val="00DC7AEC"/>
    <w:rsid w:val="00E013B4"/>
    <w:rsid w:val="00E37466"/>
    <w:rsid w:val="00E44899"/>
    <w:rsid w:val="00E83121"/>
    <w:rsid w:val="00E8587D"/>
    <w:rsid w:val="00EC05A5"/>
    <w:rsid w:val="00EC177D"/>
    <w:rsid w:val="00EC1F2E"/>
    <w:rsid w:val="00ED6522"/>
    <w:rsid w:val="00ED747D"/>
    <w:rsid w:val="00EE0AAD"/>
    <w:rsid w:val="00EE28B3"/>
    <w:rsid w:val="00EE426D"/>
    <w:rsid w:val="00EF3AD7"/>
    <w:rsid w:val="00EF7204"/>
    <w:rsid w:val="00F07B97"/>
    <w:rsid w:val="00F12881"/>
    <w:rsid w:val="00F15F34"/>
    <w:rsid w:val="00F41D8A"/>
    <w:rsid w:val="00F62D33"/>
    <w:rsid w:val="00F64195"/>
    <w:rsid w:val="00F961E4"/>
    <w:rsid w:val="00FA4FF5"/>
    <w:rsid w:val="00FF3712"/>
    <w:rsid w:val="06353295"/>
    <w:rsid w:val="067E036E"/>
    <w:rsid w:val="075C28A3"/>
    <w:rsid w:val="0AE772C6"/>
    <w:rsid w:val="0DFB3886"/>
    <w:rsid w:val="0DFD2432"/>
    <w:rsid w:val="0EAE01D2"/>
    <w:rsid w:val="13045747"/>
    <w:rsid w:val="141D136F"/>
    <w:rsid w:val="1CEC6088"/>
    <w:rsid w:val="1CF163A7"/>
    <w:rsid w:val="20E376A5"/>
    <w:rsid w:val="28B315F2"/>
    <w:rsid w:val="2E9F69F8"/>
    <w:rsid w:val="30C59E56"/>
    <w:rsid w:val="33811B5E"/>
    <w:rsid w:val="356566F3"/>
    <w:rsid w:val="3583499D"/>
    <w:rsid w:val="35D0224E"/>
    <w:rsid w:val="3AF85EEE"/>
    <w:rsid w:val="3E0813BC"/>
    <w:rsid w:val="3F186055"/>
    <w:rsid w:val="40075671"/>
    <w:rsid w:val="42176247"/>
    <w:rsid w:val="548D672B"/>
    <w:rsid w:val="558A6307"/>
    <w:rsid w:val="55D9132D"/>
    <w:rsid w:val="58A659C7"/>
    <w:rsid w:val="5F3220CB"/>
    <w:rsid w:val="63D60A2F"/>
    <w:rsid w:val="66A71673"/>
    <w:rsid w:val="67F92C8C"/>
    <w:rsid w:val="685E50F3"/>
    <w:rsid w:val="6DDC57BB"/>
    <w:rsid w:val="700A6FD3"/>
    <w:rsid w:val="734614EE"/>
    <w:rsid w:val="74173BDB"/>
    <w:rsid w:val="77E2617C"/>
    <w:rsid w:val="7860691E"/>
    <w:rsid w:val="7A085776"/>
    <w:rsid w:val="7F5D12E5"/>
    <w:rsid w:val="F7E3FC1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22"/>
    <w:autoRedefine/>
    <w:qFormat/>
    <w:uiPriority w:val="0"/>
    <w:pPr>
      <w:jc w:val="left"/>
    </w:pPr>
  </w:style>
  <w:style w:type="paragraph" w:styleId="3">
    <w:name w:val="Body Text Indent"/>
    <w:basedOn w:val="1"/>
    <w:autoRedefine/>
    <w:qFormat/>
    <w:uiPriority w:val="0"/>
    <w:pPr>
      <w:spacing w:after="120"/>
      <w:ind w:left="420" w:leftChars="200"/>
    </w:pPr>
  </w:style>
  <w:style w:type="paragraph" w:styleId="4">
    <w:name w:val="Plain Text"/>
    <w:basedOn w:val="1"/>
    <w:autoRedefine/>
    <w:qFormat/>
    <w:uiPriority w:val="0"/>
    <w:rPr>
      <w:rFonts w:ascii="宋体" w:hAnsi="Courier New" w:cs="Courier New"/>
      <w:szCs w:val="21"/>
    </w:rPr>
  </w:style>
  <w:style w:type="paragraph" w:styleId="5">
    <w:name w:val="Date"/>
    <w:basedOn w:val="1"/>
    <w:next w:val="1"/>
    <w:link w:val="19"/>
    <w:qFormat/>
    <w:uiPriority w:val="0"/>
    <w:pPr>
      <w:ind w:left="100" w:leftChars="2500"/>
    </w:pPr>
  </w:style>
  <w:style w:type="paragraph" w:styleId="6">
    <w:name w:val="Balloon Text"/>
    <w:basedOn w:val="1"/>
    <w:link w:val="18"/>
    <w:autoRedefine/>
    <w:qFormat/>
    <w:uiPriority w:val="0"/>
    <w:rPr>
      <w:rFonts w:ascii="Heiti SC Light" w:eastAsia="Heiti SC Light"/>
      <w:sz w:val="18"/>
      <w:szCs w:val="18"/>
    </w:rPr>
  </w:style>
  <w:style w:type="paragraph" w:styleId="7">
    <w:name w:val="footer"/>
    <w:basedOn w:val="1"/>
    <w:link w:val="23"/>
    <w:autoRedefine/>
    <w:qFormat/>
    <w:uiPriority w:val="0"/>
    <w:pPr>
      <w:tabs>
        <w:tab w:val="center" w:pos="4153"/>
        <w:tab w:val="right" w:pos="8306"/>
      </w:tabs>
      <w:snapToGrid w:val="0"/>
      <w:jc w:val="left"/>
    </w:pPr>
    <w:rPr>
      <w:sz w:val="18"/>
      <w:szCs w:val="18"/>
    </w:rPr>
  </w:style>
  <w:style w:type="paragraph" w:styleId="8">
    <w:name w:val="header"/>
    <w:basedOn w:val="1"/>
    <w:link w:val="21"/>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2"/>
    <w:basedOn w:val="1"/>
    <w:autoRedefine/>
    <w:qFormat/>
    <w:uiPriority w:val="0"/>
    <w:rPr>
      <w:rFonts w:ascii="宋体" w:hAnsi="宋体"/>
      <w:b/>
      <w:bCs/>
      <w:sz w:val="28"/>
      <w:szCs w:val="20"/>
    </w:rPr>
  </w:style>
  <w:style w:type="paragraph" w:styleId="10">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1">
    <w:name w:val="annotation subject"/>
    <w:basedOn w:val="2"/>
    <w:next w:val="2"/>
    <w:link w:val="20"/>
    <w:autoRedefine/>
    <w:qFormat/>
    <w:uiPriority w:val="0"/>
    <w:rPr>
      <w:b/>
      <w:bCs/>
    </w:rPr>
  </w:style>
  <w:style w:type="table" w:styleId="13">
    <w:name w:val="Table Grid"/>
    <w:basedOn w:val="12"/>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autoRedefine/>
    <w:qFormat/>
    <w:uiPriority w:val="0"/>
    <w:rPr>
      <w:b/>
      <w:bCs/>
    </w:rPr>
  </w:style>
  <w:style w:type="character" w:styleId="16">
    <w:name w:val="Hyperlink"/>
    <w:autoRedefine/>
    <w:qFormat/>
    <w:uiPriority w:val="0"/>
    <w:rPr>
      <w:color w:val="0000FF"/>
      <w:u w:val="single"/>
    </w:rPr>
  </w:style>
  <w:style w:type="character" w:styleId="17">
    <w:name w:val="annotation reference"/>
    <w:autoRedefine/>
    <w:qFormat/>
    <w:uiPriority w:val="0"/>
    <w:rPr>
      <w:sz w:val="21"/>
      <w:szCs w:val="21"/>
    </w:rPr>
  </w:style>
  <w:style w:type="character" w:customStyle="1" w:styleId="18">
    <w:name w:val="批注框文本 字符"/>
    <w:link w:val="6"/>
    <w:autoRedefine/>
    <w:qFormat/>
    <w:uiPriority w:val="0"/>
    <w:rPr>
      <w:rFonts w:ascii="Heiti SC Light" w:eastAsia="Heiti SC Light"/>
      <w:kern w:val="2"/>
      <w:sz w:val="18"/>
      <w:szCs w:val="18"/>
    </w:rPr>
  </w:style>
  <w:style w:type="character" w:customStyle="1" w:styleId="19">
    <w:name w:val="日期 字符"/>
    <w:link w:val="5"/>
    <w:autoRedefine/>
    <w:qFormat/>
    <w:uiPriority w:val="0"/>
    <w:rPr>
      <w:kern w:val="2"/>
      <w:sz w:val="21"/>
      <w:szCs w:val="24"/>
    </w:rPr>
  </w:style>
  <w:style w:type="character" w:customStyle="1" w:styleId="20">
    <w:name w:val="批注主题 字符"/>
    <w:link w:val="11"/>
    <w:autoRedefine/>
    <w:qFormat/>
    <w:uiPriority w:val="0"/>
    <w:rPr>
      <w:b/>
      <w:bCs/>
      <w:kern w:val="2"/>
      <w:sz w:val="21"/>
      <w:szCs w:val="24"/>
    </w:rPr>
  </w:style>
  <w:style w:type="character" w:customStyle="1" w:styleId="21">
    <w:name w:val="页眉 字符"/>
    <w:link w:val="8"/>
    <w:autoRedefine/>
    <w:qFormat/>
    <w:uiPriority w:val="0"/>
    <w:rPr>
      <w:kern w:val="2"/>
      <w:sz w:val="18"/>
      <w:szCs w:val="18"/>
    </w:rPr>
  </w:style>
  <w:style w:type="character" w:customStyle="1" w:styleId="22">
    <w:name w:val="批注文字 字符"/>
    <w:link w:val="2"/>
    <w:autoRedefine/>
    <w:qFormat/>
    <w:uiPriority w:val="0"/>
    <w:rPr>
      <w:kern w:val="2"/>
      <w:sz w:val="21"/>
      <w:szCs w:val="24"/>
    </w:rPr>
  </w:style>
  <w:style w:type="character" w:customStyle="1" w:styleId="23">
    <w:name w:val="页脚 字符"/>
    <w:link w:val="7"/>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6</Pages>
  <Words>372</Words>
  <Characters>2121</Characters>
  <Lines>17</Lines>
  <Paragraphs>4</Paragraphs>
  <TotalTime>32</TotalTime>
  <ScaleCrop>false</ScaleCrop>
  <LinksUpToDate>false</LinksUpToDate>
  <CharactersWithSpaces>2489</CharactersWithSpaces>
  <Application>WPS Office_6.6.1.8808_F1E327BC-269C-435d-A152-05C5408002CA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2024-05-14T00:37:00Z</dcterms:created>
  <dc:creator>user</dc:creator>
  <cp:lastModifiedBy>月竹</cp:lastModifiedBy>
  <cp:lastPrinted>2018-06-29T17:17:00Z</cp:lastPrinted>
  <dcterms:modified xsi:type="dcterms:W3CDTF">2024-07-08T13:52:43Z</dcterms:modified>
  <dc:title>四川大学华西医院心理卫生中心毕业后继续教育信息</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2052-6.6.1.8808</vt:lpwstr>
  </property>
  <property fmtid="{D5CDD505-2E9C-101B-9397-08002B2CF9AE}" pid="3" name="ICV">
    <vt:lpwstr>90B027BA9849C09DD94C8766B55DE5C8_43</vt:lpwstr>
  </property>
</Properties>
</file>