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jc w:val="center"/>
        <w:textAlignment w:val="auto"/>
        <w:rPr>
          <w:rFonts w:hint="eastAsia" w:ascii="黑体" w:hAnsi="黑体" w:eastAsia="黑体" w:cs="黑体"/>
          <w:b/>
          <w:bCs/>
          <w:kern w:val="0"/>
          <w:sz w:val="44"/>
          <w:szCs w:val="44"/>
        </w:rPr>
      </w:pPr>
      <w:r>
        <w:rPr>
          <w:rFonts w:hint="eastAsia" w:ascii="黑体" w:hAnsi="黑体" w:eastAsia="黑体" w:cs="黑体"/>
          <w:b/>
          <w:bCs/>
          <w:kern w:val="0"/>
          <w:sz w:val="44"/>
          <w:szCs w:val="44"/>
        </w:rPr>
        <w:t>肿瘤</w:t>
      </w:r>
      <w:r>
        <w:rPr>
          <w:rFonts w:hint="eastAsia" w:ascii="黑体" w:hAnsi="黑体" w:eastAsia="黑体" w:cs="黑体"/>
          <w:b/>
          <w:bCs/>
          <w:kern w:val="0"/>
          <w:sz w:val="44"/>
          <w:szCs w:val="44"/>
        </w:rPr>
        <w:t>/血液</w:t>
      </w:r>
      <w:r>
        <w:rPr>
          <w:rFonts w:hint="eastAsia" w:ascii="黑体" w:hAnsi="黑体" w:eastAsia="黑体" w:cs="黑体"/>
          <w:b/>
          <w:bCs/>
          <w:kern w:val="0"/>
          <w:sz w:val="44"/>
          <w:szCs w:val="44"/>
          <w:lang w:val="en-US" w:eastAsia="zh-CN"/>
        </w:rPr>
        <w:t>综合病房</w:t>
      </w:r>
      <w:r>
        <w:rPr>
          <w:rFonts w:hint="eastAsia" w:ascii="黑体" w:hAnsi="黑体" w:eastAsia="黑体" w:cs="黑体"/>
          <w:b/>
          <w:bCs/>
          <w:kern w:val="0"/>
          <w:sz w:val="44"/>
          <w:szCs w:val="44"/>
        </w:rPr>
        <w:t>淋巴瘤亚专</w:t>
      </w:r>
      <w:bookmarkStart w:id="0" w:name="_GoBack"/>
      <w:bookmarkEnd w:id="0"/>
      <w:r>
        <w:rPr>
          <w:rFonts w:hint="eastAsia" w:ascii="黑体" w:hAnsi="黑体" w:eastAsia="黑体" w:cs="黑体"/>
          <w:b/>
          <w:bCs/>
          <w:kern w:val="0"/>
          <w:sz w:val="44"/>
          <w:szCs w:val="44"/>
        </w:rPr>
        <w:t>业进修招生简章</w:t>
      </w:r>
    </w:p>
    <w:p>
      <w:pPr>
        <w:keepNext w:val="0"/>
        <w:keepLines w:val="0"/>
        <w:pageBreakBefore w:val="0"/>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一、科室简介</w:t>
      </w:r>
    </w:p>
    <w:p>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院肿瘤/血液科淋巴瘤亚专业历经数十年的深耕与发展，在老一辈专家的奠基与数代学人的不懈努力下，现已发展成为集医疗、教学、科研于一体的全国领军型淋巴瘤与白血病诊疗中心及疑难重症诊治基地。本学科作为国家级临床重点专科，始终秉承“以患者为中心、以精准医疗为导向”的宗旨，凭借卓越的临床疗效和前沿的科研创新，在复旦专科声誉排行榜及中国医院科技量值（STEM）中长期名列前茅。</w:t>
      </w:r>
    </w:p>
    <w:p>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亚专业目前拥有高水平的专科医师团队，其中高级职称、博士生导师及硕士生导师数人，整体梯队结构合理、实力雄厚。科室常规开设淋巴瘤专科病区及多学科联合诊疗（MDT）门诊，年收治各类淋巴瘤与血液肿瘤患者数千例。诊疗范围全面覆盖霍奇金淋巴瘤、各类非霍奇金淋巴瘤（包括弥漫大B细胞淋巴瘤、滤泡淋巴瘤、套细胞淋巴瘤、外周T/NK细胞淋巴瘤等）以及慢性淋巴细胞白血病（CLL）。尤其在“无化疗（Chemo-free）”靶向治疗方案、新型BTK抑制剂与BCL-2抑制剂（如Sonrotoclax、Lisaftoclax、Venetoclax）的联合应用、以及原发中枢神经系统淋巴瘤（PCNSL）的个体化综合治疗领域，处于国内领先、国际一流水平。</w:t>
      </w:r>
    </w:p>
    <w:p>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科室紧跟国际前沿，依托现代化生物样本库，深度聚焦分子生物学标志物与基因突变（如</w:t>
      </w:r>
      <m:oMath>
        <m:r>
          <w:rPr>
            <w:rFonts w:hint="eastAsia" w:ascii="Cambria Math" w:hAnsi="Cambria Math" w:eastAsia="仿宋_GB2312" w:cs="仿宋_GB2312"/>
            <w:sz w:val="28"/>
            <w:szCs w:val="28"/>
          </w:rPr>
          <m:t>TP</m:t>
        </m:r>
        <m:r>
          <m:rPr>
            <m:sty m:val="p"/>
          </m:rPr>
          <w:rPr>
            <w:rFonts w:hint="eastAsia" w:ascii="Cambria Math" w:hAnsi="Cambria Math" w:eastAsia="仿宋_GB2312" w:cs="仿宋_GB2312"/>
            <w:sz w:val="28"/>
            <w:szCs w:val="28"/>
          </w:rPr>
          <m:t>53</m:t>
        </m:r>
      </m:oMath>
      <w:r>
        <w:rPr>
          <w:rFonts w:hint="eastAsia" w:ascii="仿宋_GB2312" w:hAnsi="仿宋_GB2312" w:eastAsia="仿宋_GB2312" w:cs="仿宋_GB2312"/>
          <w:sz w:val="28"/>
          <w:szCs w:val="28"/>
        </w:rPr>
        <w:t>突变、p53蛋白异常表达、克隆演变规律）在疾病预后分层与耐药机制中的临床价值。近年来，本团队作为主要研究者（PI）或共同PI，</w:t>
      </w:r>
      <w:r>
        <w:rPr>
          <w:rFonts w:hint="eastAsia" w:ascii="仿宋_GB2312" w:hAnsi="仿宋_GB2312" w:eastAsia="仿宋_GB2312" w:cs="仿宋_GB2312"/>
          <w:sz w:val="28"/>
          <w:szCs w:val="28"/>
        </w:rPr>
        <w:t>开展多项临床研究</w:t>
      </w:r>
      <w:r>
        <w:rPr>
          <w:rFonts w:hint="eastAsia" w:ascii="仿宋_GB2312" w:hAnsi="仿宋_GB2312" w:eastAsia="仿宋_GB2312" w:cs="仿宋_GB2312"/>
          <w:sz w:val="28"/>
          <w:szCs w:val="28"/>
        </w:rPr>
        <w:t>，相关创新成果多次在ASH、EHA、CSCO等国内外顶级学术盛会上作交流。</w:t>
      </w:r>
    </w:p>
    <w:p>
      <w:pPr>
        <w:keepNext w:val="0"/>
        <w:keepLines w:val="0"/>
        <w:pageBreakBefore w:val="0"/>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二、进修简介</w:t>
      </w:r>
    </w:p>
    <w:p>
      <w:pPr>
        <w:keepNext w:val="0"/>
        <w:keepLines w:val="0"/>
        <w:pageBreakBefore w:val="0"/>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（一）进修</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rPr>
        <w:t>包括淋巴瘤规范化临床诊疗、淋巴瘤精准靶向与少见病专病、血液肿瘤分子病理与临床转化、淋巴瘤临床试验与研究（GCP）。填表时务必注明进修时间。录取之后，进修内容及时间原则上不予更改。</w:t>
      </w:r>
    </w:p>
    <w:p>
      <w:pPr>
        <w:keepNext w:val="0"/>
        <w:keepLines w:val="0"/>
        <w:pageBreakBefore w:val="0"/>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（二）进修报到时间为每年3月和9月，一般在报到时间前2个月完成录取工作。进修学员持录取通知书及时报到，逾期3天未报到视为自动放弃，我科不予接收。</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三、培养方案</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546"/>
        <w:gridCol w:w="1701"/>
        <w:gridCol w:w="129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3"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
                <w:color w:val="333333"/>
                <w:kern w:val="0"/>
                <w:sz w:val="24"/>
                <w:szCs w:val="24"/>
              </w:rPr>
            </w:pPr>
            <w:r>
              <w:rPr>
                <w:rFonts w:hint="eastAsia" w:ascii="仿宋_GB2312" w:hAnsi="仿宋_GB2312" w:eastAsia="仿宋_GB2312" w:cs="仿宋_GB2312"/>
                <w:b/>
                <w:color w:val="333333"/>
                <w:kern w:val="0"/>
                <w:sz w:val="24"/>
                <w:szCs w:val="24"/>
              </w:rPr>
              <w:t>进修专业</w:t>
            </w:r>
          </w:p>
        </w:tc>
        <w:tc>
          <w:tcPr>
            <w:tcW w:w="2546"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
                <w:color w:val="333333"/>
                <w:kern w:val="0"/>
                <w:sz w:val="24"/>
                <w:szCs w:val="24"/>
              </w:rPr>
            </w:pPr>
            <w:r>
              <w:rPr>
                <w:rFonts w:hint="eastAsia" w:ascii="仿宋_GB2312" w:hAnsi="仿宋_GB2312" w:eastAsia="仿宋_GB2312" w:cs="仿宋_GB2312"/>
                <w:b/>
                <w:color w:val="333333"/>
                <w:kern w:val="0"/>
                <w:sz w:val="24"/>
                <w:szCs w:val="24"/>
              </w:rPr>
              <w:t>学习内容</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
                <w:color w:val="333333"/>
                <w:kern w:val="0"/>
                <w:sz w:val="24"/>
                <w:szCs w:val="24"/>
              </w:rPr>
            </w:pPr>
            <w:r>
              <w:rPr>
                <w:rFonts w:hint="eastAsia" w:ascii="仿宋_GB2312" w:hAnsi="仿宋_GB2312" w:eastAsia="仿宋_GB2312" w:cs="仿宋_GB2312"/>
                <w:b/>
                <w:color w:val="333333"/>
                <w:kern w:val="0"/>
                <w:sz w:val="24"/>
                <w:szCs w:val="24"/>
              </w:rPr>
              <w:t>带教方法</w:t>
            </w:r>
          </w:p>
        </w:tc>
        <w:tc>
          <w:tcPr>
            <w:tcW w:w="1294"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
                <w:color w:val="333333"/>
                <w:kern w:val="0"/>
                <w:sz w:val="24"/>
                <w:szCs w:val="24"/>
              </w:rPr>
            </w:pPr>
            <w:r>
              <w:rPr>
                <w:rFonts w:hint="eastAsia" w:ascii="仿宋_GB2312" w:hAnsi="仿宋_GB2312" w:eastAsia="仿宋_GB2312" w:cs="仿宋_GB2312"/>
                <w:b/>
                <w:color w:val="333333"/>
                <w:kern w:val="0"/>
                <w:sz w:val="24"/>
                <w:szCs w:val="24"/>
              </w:rPr>
              <w:t>结业考核方式</w:t>
            </w:r>
          </w:p>
        </w:tc>
        <w:tc>
          <w:tcPr>
            <w:tcW w:w="2748"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
                <w:color w:val="333333"/>
                <w:kern w:val="0"/>
                <w:sz w:val="24"/>
                <w:szCs w:val="24"/>
              </w:rPr>
            </w:pPr>
            <w:r>
              <w:rPr>
                <w:rFonts w:hint="eastAsia" w:ascii="仿宋_GB2312" w:hAnsi="仿宋_GB2312" w:eastAsia="仿宋_GB2312" w:cs="仿宋_GB2312"/>
                <w:b/>
                <w:color w:val="333333"/>
                <w:kern w:val="0"/>
                <w:sz w:val="24"/>
                <w:szCs w:val="24"/>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3"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Cs/>
                <w:color w:val="333333"/>
                <w:kern w:val="0"/>
                <w:sz w:val="24"/>
                <w:szCs w:val="24"/>
              </w:rPr>
            </w:pPr>
            <w:r>
              <w:rPr>
                <w:rFonts w:hint="eastAsia" w:ascii="仿宋_GB2312" w:hAnsi="仿宋_GB2312" w:eastAsia="仿宋_GB2312" w:cs="仿宋_GB2312"/>
                <w:bCs/>
                <w:color w:val="333333"/>
                <w:kern w:val="0"/>
                <w:sz w:val="24"/>
                <w:szCs w:val="24"/>
              </w:rPr>
              <w:t>淋巴瘤规范化临床诊疗</w:t>
            </w:r>
          </w:p>
        </w:tc>
        <w:tc>
          <w:tcPr>
            <w:tcW w:w="2546"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Cs/>
                <w:color w:val="333333"/>
                <w:kern w:val="0"/>
                <w:sz w:val="24"/>
                <w:szCs w:val="24"/>
              </w:rPr>
            </w:pPr>
            <w:r>
              <w:rPr>
                <w:rFonts w:hint="eastAsia" w:ascii="仿宋_GB2312" w:hAnsi="仿宋_GB2312" w:eastAsia="仿宋_GB2312" w:cs="仿宋_GB2312"/>
                <w:bCs/>
                <w:color w:val="333333"/>
                <w:kern w:val="0"/>
                <w:sz w:val="24"/>
                <w:szCs w:val="24"/>
              </w:rPr>
              <w:t>常见及疑难淋巴瘤、CLL的诊断分型、预后分层及规范化一线/后线治疗方案。</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Cs/>
                <w:color w:val="333333"/>
                <w:kern w:val="0"/>
                <w:sz w:val="24"/>
                <w:szCs w:val="24"/>
              </w:rPr>
            </w:pPr>
            <w:r>
              <w:rPr>
                <w:rFonts w:hint="eastAsia" w:ascii="仿宋_GB2312" w:hAnsi="仿宋_GB2312" w:eastAsia="仿宋_GB2312" w:cs="仿宋_GB2312"/>
                <w:bCs/>
                <w:color w:val="333333"/>
                <w:kern w:val="0"/>
                <w:sz w:val="24"/>
                <w:szCs w:val="24"/>
              </w:rPr>
              <w:t>病房轮转、专科查房、MDT疑难病案分析、专题讲座。</w:t>
            </w:r>
          </w:p>
        </w:tc>
        <w:tc>
          <w:tcPr>
            <w:tcW w:w="1294"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Cs/>
                <w:color w:val="333333"/>
                <w:kern w:val="0"/>
                <w:sz w:val="24"/>
                <w:szCs w:val="24"/>
              </w:rPr>
            </w:pPr>
            <w:r>
              <w:rPr>
                <w:rFonts w:hint="eastAsia" w:ascii="仿宋_GB2312" w:hAnsi="仿宋_GB2312" w:eastAsia="仿宋_GB2312" w:cs="仿宋_GB2312"/>
                <w:bCs/>
                <w:color w:val="333333"/>
                <w:kern w:val="0"/>
                <w:sz w:val="24"/>
                <w:szCs w:val="24"/>
              </w:rPr>
              <w:t>结业笔试 + 临床病例答辩</w:t>
            </w:r>
          </w:p>
        </w:tc>
        <w:tc>
          <w:tcPr>
            <w:tcW w:w="2748" w:type="dxa"/>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auto"/>
              <w:rPr>
                <w:rFonts w:hint="eastAsia" w:ascii="仿宋_GB2312" w:hAnsi="仿宋_GB2312" w:eastAsia="仿宋_GB2312" w:cs="仿宋_GB2312"/>
                <w:bCs/>
                <w:color w:val="333333"/>
                <w:kern w:val="0"/>
                <w:sz w:val="24"/>
                <w:szCs w:val="24"/>
              </w:rPr>
            </w:pPr>
            <w:r>
              <w:rPr>
                <w:rFonts w:hint="eastAsia" w:ascii="仿宋_GB2312" w:hAnsi="仿宋_GB2312" w:eastAsia="仿宋_GB2312" w:cs="仿宋_GB2312"/>
                <w:bCs/>
                <w:color w:val="333333"/>
                <w:kern w:val="0"/>
                <w:sz w:val="24"/>
                <w:szCs w:val="24"/>
              </w:rPr>
              <w:t>掌握常见淋巴瘤的诊疗规范，具备独立处理血液肿瘤常见合并症及疑难疾病的初步能力。</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0" w:firstLine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四、进修学员资质要求</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正规医学院校本科毕业，具备执业医师资格，至少有1年及1年以上临床工作经验。身体和心理健康，能够胜任繁重的临床工作，具有团队合作精神，能熟练使用电脑进行办公。</w:t>
      </w:r>
    </w:p>
    <w:p>
      <w:pPr>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after="0" w:line="36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肿瘤/血液综合病房</w:t>
      </w:r>
    </w:p>
    <w:p>
      <w:pPr>
        <w:keepNext w:val="0"/>
        <w:keepLines w:val="0"/>
        <w:pageBreakBefore w:val="0"/>
        <w:kinsoku/>
        <w:wordWrap/>
        <w:overflowPunct/>
        <w:topLinePunct w:val="0"/>
        <w:autoSpaceDE/>
        <w:autoSpaceDN/>
        <w:bidi w:val="0"/>
        <w:adjustRightInd/>
        <w:snapToGrid/>
        <w:spacing w:after="0" w:line="360" w:lineRule="auto"/>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2026年7月14日</w:t>
      </w:r>
    </w:p>
    <w:p>
      <w:pPr>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after="0" w:line="360" w:lineRule="auto"/>
        <w:ind w:firstLine="0" w:firstLineChars="0"/>
        <w:textAlignment w:val="auto"/>
        <w:rPr>
          <w:rFonts w:hint="eastAsia" w:ascii="仿宋_GB2312" w:hAnsi="仿宋_GB2312" w:eastAsia="仿宋_GB2312" w:cs="仿宋_GB2312"/>
          <w:sz w:val="28"/>
          <w:szCs w:val="28"/>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03"/>
    <w:rsid w:val="0003123F"/>
    <w:rsid w:val="00061125"/>
    <w:rsid w:val="00085934"/>
    <w:rsid w:val="000E1C04"/>
    <w:rsid w:val="001044D3"/>
    <w:rsid w:val="001227D5"/>
    <w:rsid w:val="001A420A"/>
    <w:rsid w:val="00213D03"/>
    <w:rsid w:val="00243453"/>
    <w:rsid w:val="002A2E43"/>
    <w:rsid w:val="002D0B67"/>
    <w:rsid w:val="002E5441"/>
    <w:rsid w:val="003451E1"/>
    <w:rsid w:val="0037041C"/>
    <w:rsid w:val="003B5E63"/>
    <w:rsid w:val="003B5ED6"/>
    <w:rsid w:val="003B7861"/>
    <w:rsid w:val="003F4105"/>
    <w:rsid w:val="004D7AC1"/>
    <w:rsid w:val="004F7D6E"/>
    <w:rsid w:val="00505546"/>
    <w:rsid w:val="00594FC9"/>
    <w:rsid w:val="005A2138"/>
    <w:rsid w:val="005B1AFD"/>
    <w:rsid w:val="005B7900"/>
    <w:rsid w:val="005C3545"/>
    <w:rsid w:val="005D2ACF"/>
    <w:rsid w:val="00610D8C"/>
    <w:rsid w:val="00644AA1"/>
    <w:rsid w:val="00662F90"/>
    <w:rsid w:val="006A1A38"/>
    <w:rsid w:val="006D5A78"/>
    <w:rsid w:val="006E72AF"/>
    <w:rsid w:val="00766A79"/>
    <w:rsid w:val="00767B09"/>
    <w:rsid w:val="00793508"/>
    <w:rsid w:val="007B04CB"/>
    <w:rsid w:val="007B5EF3"/>
    <w:rsid w:val="007C236D"/>
    <w:rsid w:val="0080202B"/>
    <w:rsid w:val="008358F8"/>
    <w:rsid w:val="00853085"/>
    <w:rsid w:val="009361E3"/>
    <w:rsid w:val="00970D36"/>
    <w:rsid w:val="009F06EE"/>
    <w:rsid w:val="00AE324E"/>
    <w:rsid w:val="00AF5E0B"/>
    <w:rsid w:val="00B406A0"/>
    <w:rsid w:val="00B42D6D"/>
    <w:rsid w:val="00BF57B0"/>
    <w:rsid w:val="00C61917"/>
    <w:rsid w:val="00C7189B"/>
    <w:rsid w:val="00CB138F"/>
    <w:rsid w:val="00CB75A7"/>
    <w:rsid w:val="00CC248F"/>
    <w:rsid w:val="00CE0EAA"/>
    <w:rsid w:val="00CE5167"/>
    <w:rsid w:val="00D77D59"/>
    <w:rsid w:val="00DA430E"/>
    <w:rsid w:val="00DB21E5"/>
    <w:rsid w:val="00E54FB9"/>
    <w:rsid w:val="00E64871"/>
    <w:rsid w:val="00E81C93"/>
    <w:rsid w:val="00E8343A"/>
    <w:rsid w:val="00EC48BA"/>
    <w:rsid w:val="00F074B1"/>
    <w:rsid w:val="00F26441"/>
    <w:rsid w:val="00F633AF"/>
    <w:rsid w:val="00F76F29"/>
    <w:rsid w:val="08A20F98"/>
    <w:rsid w:val="14974B07"/>
    <w:rsid w:val="15327546"/>
    <w:rsid w:val="3822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Date"/>
    <w:basedOn w:val="1"/>
    <w:next w:val="1"/>
    <w:link w:val="14"/>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semiHidden/>
    <w:qFormat/>
    <w:uiPriority w:val="0"/>
    <w:rPr>
      <w:sz w:val="21"/>
      <w:szCs w:val="21"/>
    </w:rPr>
  </w:style>
  <w:style w:type="table" w:styleId="11">
    <w:name w:val="Table Grid"/>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link w:val="7"/>
    <w:qFormat/>
    <w:uiPriority w:val="0"/>
    <w:rPr>
      <w:kern w:val="2"/>
      <w:sz w:val="18"/>
      <w:szCs w:val="18"/>
    </w:rPr>
  </w:style>
  <w:style w:type="character" w:customStyle="1" w:styleId="13">
    <w:name w:val="页脚 字符"/>
    <w:link w:val="6"/>
    <w:qFormat/>
    <w:uiPriority w:val="0"/>
    <w:rPr>
      <w:kern w:val="2"/>
      <w:sz w:val="18"/>
      <w:szCs w:val="18"/>
    </w:rPr>
  </w:style>
  <w:style w:type="character" w:customStyle="1" w:styleId="14">
    <w:name w:val="日期 字符"/>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Words>
  <Characters>953</Characters>
  <Lines>7</Lines>
  <Paragraphs>2</Paragraphs>
  <TotalTime>18</TotalTime>
  <ScaleCrop>false</ScaleCrop>
  <LinksUpToDate>false</LinksUpToDate>
  <CharactersWithSpaces>1118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2018-06-27T00:35:00Z</dcterms:created>
  <dc:creator>Dr. Tong</dc:creator>
  <cp:lastModifiedBy>zhang</cp:lastModifiedBy>
  <dcterms:modified xsi:type="dcterms:W3CDTF">2026-07-14T01:38:51Z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