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ascii="Times New Roman" w:hAnsi="Times New Roman" w:cs="Times New Roma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附件1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项目申报指南建议征集方向</w:t>
      </w:r>
    </w:p>
    <w:p>
      <w:pPr>
        <w:suppressAutoHyphens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Style w:val="2"/>
        <w:spacing w:after="0"/>
        <w:jc w:val="both"/>
        <w:rPr>
          <w:rFonts w:ascii="黑体" w:hAnsi="黑体" w:eastAsia="黑体" w:cs="黑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一、揭榜挂帅项目</w:t>
      </w:r>
    </w:p>
    <w:p>
      <w:pPr>
        <w:pStyle w:val="2"/>
        <w:spacing w:after="0"/>
        <w:jc w:val="both"/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聚焦</w:t>
      </w:r>
      <w:r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我省优势领域和“卡脖子”关键技术，</w:t>
      </w:r>
      <w:r>
        <w:rPr>
          <w:rFonts w:hint="eastAsia"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组织专业团队</w:t>
      </w:r>
      <w:r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开展技术攻关，提升科技创新“临门一脚”能力，</w:t>
      </w:r>
      <w:r>
        <w:rPr>
          <w:rFonts w:hint="eastAsia"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产出重大科研成果</w:t>
      </w:r>
      <w:r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拟实施周期3年，财政</w:t>
      </w:r>
      <w:r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资助经费50万/项</w:t>
      </w:r>
      <w:r>
        <w:rPr>
          <w:rFonts w:hint="eastAsia"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，申报单位按</w:t>
      </w:r>
      <w:r>
        <w:rPr>
          <w:rFonts w:ascii="Times New Roman" w:hAnsi="Times New Roman" w:eastAsia="仿宋_GB2312" w:cs="Times New Roman"/>
          <w:b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不低于1:1比例配套。</w:t>
      </w:r>
    </w:p>
    <w:p>
      <w:pPr>
        <w:pStyle w:val="5"/>
        <w:spacing w:line="560" w:lineRule="exact"/>
        <w:ind w:firstLine="640" w:firstLineChars="200"/>
        <w:jc w:val="both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</w:t>
      </w:r>
      <w:r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创新团队项目</w:t>
      </w:r>
    </w:p>
    <w:p>
      <w:pPr>
        <w:pStyle w:val="5"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聚焦多学科人才交叉融合，培养协同攻关能力，在关键技术领域支持一批创新团队，攻克一批先进临床诊治关键技术，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提升专科专病联盟、多学科诊疗团队的临床研究水平；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拟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实施周期3年，财政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资助经费20万/项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申报单位按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不低于1: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比例配套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。</w:t>
      </w:r>
    </w:p>
    <w:p>
      <w:pPr>
        <w:pStyle w:val="5"/>
        <w:spacing w:line="560" w:lineRule="exact"/>
        <w:ind w:firstLine="640" w:firstLineChars="200"/>
        <w:jc w:val="both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三、青年苗圃项目</w:t>
      </w:r>
    </w:p>
    <w:p>
      <w:pPr>
        <w:pStyle w:val="5"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聚焦青年科技人才培育，培养创新思维和研究能力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支持青年科技人员开展自主选题、自由探索研究，培养一批勇于创新的青年科技人才；拟实施周期2年，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财政资助经费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5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-10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万/项（一次性拨付）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资助，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申报单位按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不低于1: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比例配套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spacing w:line="560" w:lineRule="exact"/>
        <w:ind w:firstLine="640" w:firstLineChars="200"/>
        <w:jc w:val="both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</w:t>
      </w:r>
      <w:r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临床研究项目</w:t>
      </w:r>
    </w:p>
    <w:p>
      <w:pPr>
        <w:pStyle w:val="5"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auto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聚焦常见病、多发病诊疗新技术新方法研究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和重点领域疾病全程诊疗管理策略的临床研究，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提升医疗机构临床科研能力；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拟实施周期2-3年，财政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资助经费10-20万/项，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申报单位按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不低于1: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比例配套</w:t>
      </w:r>
      <w:r>
        <w:rPr>
          <w:rFonts w:ascii="Times New Roman" w:hAnsi="Times New Roman" w:eastAsia="仿宋_GB2312" w:cs="Times New Roman"/>
          <w:color w:val="auto"/>
          <w:sz w:val="32"/>
          <w:szCs w:val="32"/>
          <w:lang w:bidi="ar"/>
        </w:rPr>
        <w:t>。</w:t>
      </w:r>
    </w:p>
    <w:p>
      <w:pPr>
        <w:pStyle w:val="5"/>
        <w:spacing w:line="560" w:lineRule="exact"/>
        <w:ind w:firstLine="640" w:firstLineChars="200"/>
        <w:jc w:val="both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五、成果转化引导项目</w:t>
      </w:r>
    </w:p>
    <w:p>
      <w:pPr>
        <w:pStyle w:val="5"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聚焦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卫生</w:t>
      </w: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健康产业提质倍增，培育具有产业化前景的潜力项目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eastAsia="zh-CN"/>
        </w:rPr>
        <w:t>开展成果转化；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拟实施周期3年，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财政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资助经费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20万/项，采取转化后一次性补助，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申报单位按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不低于1: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比例配套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spacing w:line="560" w:lineRule="exact"/>
        <w:ind w:firstLine="640" w:firstLineChars="200"/>
        <w:jc w:val="both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六、</w:t>
      </w:r>
      <w:r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适宜技术项目</w:t>
      </w:r>
    </w:p>
    <w:p>
      <w:pPr>
        <w:pStyle w:val="5"/>
        <w:spacing w:line="560" w:lineRule="exact"/>
        <w:ind w:firstLine="640" w:firstLineChars="200"/>
        <w:jc w:val="both"/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聚焦基层实际需求，以县域为重要切入点，面向基层医疗卫生机构推广一批安全、有效、方便、价廉的适宜技术，提升基层服务能力，促进城乡融合发展；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拟实施周期3年，财政资助经费</w:t>
      </w: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5万/项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，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采取后补助方式</w:t>
      </w: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资助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</w:rPr>
        <w:t>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申报单位按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不低于1: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比例配套</w:t>
      </w:r>
      <w:r>
        <w:rPr>
          <w:rFonts w:ascii="Times New Roman" w:hAnsi="Times New Roman" w:eastAsia="仿宋_GB2312" w:cs="Times New Roman"/>
          <w:color w:val="auto"/>
          <w:kern w:val="2"/>
          <w:sz w:val="32"/>
          <w:szCs w:val="32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52725"/>
    <w:rsid w:val="074F1259"/>
    <w:rsid w:val="0F2B7D13"/>
    <w:rsid w:val="122B1DD5"/>
    <w:rsid w:val="1A46291C"/>
    <w:rsid w:val="1AA70DCB"/>
    <w:rsid w:val="20F64B9D"/>
    <w:rsid w:val="22D52725"/>
    <w:rsid w:val="23142309"/>
    <w:rsid w:val="24FA2BAA"/>
    <w:rsid w:val="252E637F"/>
    <w:rsid w:val="34761FDD"/>
    <w:rsid w:val="354314AE"/>
    <w:rsid w:val="38FA1153"/>
    <w:rsid w:val="3C672576"/>
    <w:rsid w:val="557F150B"/>
    <w:rsid w:val="5AC40914"/>
    <w:rsid w:val="5B450128"/>
    <w:rsid w:val="5FAF3CD5"/>
    <w:rsid w:val="65C31B7B"/>
    <w:rsid w:val="6DF85920"/>
    <w:rsid w:val="6E9C5A73"/>
    <w:rsid w:val="6EE6089B"/>
    <w:rsid w:val="74C70F9A"/>
    <w:rsid w:val="78C83169"/>
    <w:rsid w:val="7E67409B"/>
    <w:rsid w:val="7F09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 w:line="560" w:lineRule="exact"/>
      <w:ind w:firstLine="640" w:firstLineChars="200"/>
    </w:pPr>
    <w:rPr>
      <w:rFonts w:ascii="Calibri" w:hAnsi="Calibri" w:eastAsia="方正仿宋简体"/>
      <w:b/>
      <w:szCs w:val="24"/>
    </w:rPr>
  </w:style>
  <w:style w:type="paragraph" w:customStyle="1" w:styleId="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2023-11-28T10:29:00Z</dcterms:created>
  <dc:creator>旭曰</dc:creator>
  <cp:lastModifiedBy>旭曰</cp:lastModifiedBy>
  <dcterms:modified xsi:type="dcterms:W3CDTF">2023-11-28T10:29:22Z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