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5A5A99">
      <w:pP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附件1</w:t>
      </w:r>
    </w:p>
    <w:p w14:paraId="4993AA28">
      <w:pPr>
        <w:jc w:val="center"/>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揭榜项目清单</w:t>
      </w:r>
    </w:p>
    <w:p w14:paraId="1031F9F9">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（一）疾控领域人工智能场景打造 </w:t>
      </w:r>
      <w:bookmarkStart w:id="0" w:name="_GoBack"/>
      <w:bookmarkEnd w:id="0"/>
    </w:p>
    <w:p w14:paraId="26627FD4">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指导处：省疾控局规划法规处 </w:t>
      </w:r>
    </w:p>
    <w:p w14:paraId="565923DE">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目标任务：抢抓人工智能发展的历史机遇，探索人工智能在疾控领域的创新应用，打造“人工智能+”医防协同信息通、监测分析、预警预测、风险评估、流行病学调查、应急处置、免疫规划、监督执法、效果评价、社会共治以及智慧化培训等场景应用，推动疾控工作向更精准、更科学、更有效的方向迈进。 </w:t>
      </w:r>
    </w:p>
    <w:p w14:paraId="39E1A367">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（二）区域中心实验室能力提升及管理运行机制探索</w:t>
      </w:r>
    </w:p>
    <w:p w14:paraId="0F12914E">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指导处：省疾控局规划法规处 </w:t>
      </w:r>
    </w:p>
    <w:p w14:paraId="6796FD09">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目标任务：以市、县为单位，布局区域中心实验室，提升软硬件能力并探索建立覆盖本地、辐射周边的管理运行机制，提高资源利用效率，提升区域内检验检测能力。</w:t>
      </w:r>
    </w:p>
    <w:p w14:paraId="1D4C069E">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（三）监测预警与应急指挥中心建设 </w:t>
      </w:r>
    </w:p>
    <w:p w14:paraId="79574859">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指导处：省疾控局监测应急处 </w:t>
      </w:r>
    </w:p>
    <w:p w14:paraId="716C50FC">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目标任务：探索建立监测预警与应急指挥中心，整合疾控中心内部监测预警、应急管理等力量资源，实现多源数据汇聚和分析利用，开展多渠道传染病综合监测、风险评估研判、疫情风险预警、应急调度管理等任务，提升传染病监测预警和应急处置能力。 </w:t>
      </w:r>
    </w:p>
    <w:p w14:paraId="6AAF3EF6">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（四）探索乙型肝炎筛、管、治立体防治新模式 </w:t>
      </w:r>
    </w:p>
    <w:p w14:paraId="2157ACA2">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指导处：省疾控局传防免规处 </w:t>
      </w:r>
    </w:p>
    <w:p w14:paraId="6ECEAF30">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目标任务：探索以市/县为单位，由政府主导经费支持，开展人群乙肝筛查，由医疗机构对筛查出的乙肝感染者进行健康管理和规范治疗。 </w:t>
      </w:r>
    </w:p>
    <w:p w14:paraId="3D882157">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（五）建立“非免疫苗”参照“免规疫苗”管理的“横向”医防协同服务新机制 </w:t>
      </w:r>
    </w:p>
    <w:p w14:paraId="40D8A98A">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指导处：省疾控局传防免规处 </w:t>
      </w:r>
    </w:p>
    <w:p w14:paraId="2BB7FB2A">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目标任务：依托“适龄女孩免费接种人乳头瘤病毒疫苗民生实事”探索将其它非免疫规划疫苗接种相关费用纳入财政支持或医保报销范围。 </w:t>
      </w:r>
    </w:p>
    <w:p w14:paraId="0192AF8F">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（六）电子预防接种证应用推广 </w:t>
      </w:r>
    </w:p>
    <w:p w14:paraId="53A6B4D3">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指导处：省疾控局传防免规处</w:t>
      </w:r>
    </w:p>
    <w:p w14:paraId="2AE7CE98">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目标任务：以省级政务服务平台为依托，开发集身份认证、亮码识别、信息查询、问题受理等功能为一体的电子预防接种证服务应用并有序推广，保证群众持纸质预防接种证或电子预防接种证均能无障碍地接受预防接种服务。截至2025年12月31日，试点地区常规接种单位电子预防接种证申领推广覆盖率达到100%、1岁以内儿童电子预防接种证申领率≥30%。 </w:t>
      </w:r>
    </w:p>
    <w:p w14:paraId="5C7599B3">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（七）探索新报告艾滋病感染者高危行为接触者追踪“三公（工）协作”模式 </w:t>
      </w:r>
    </w:p>
    <w:p w14:paraId="20CD9BCF">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指导处：省疾控局重传处 </w:t>
      </w:r>
    </w:p>
    <w:p w14:paraId="16A93510">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目标任务：探索艾滋病新报告感染者高危行为接触者追踪的“三公（工）协作”机制及其有效路径，提升追踪效能，通过机制创新与技术赋能，整合多部门资源，构建高效协同的追踪网络，实现公安、公卫、工信在追踪与动员检测中的职责衔接流程优化，实现早发现、早干预，阻断传播链条，完善公共卫生体系。 </w:t>
      </w:r>
    </w:p>
    <w:p w14:paraId="752FC0DB">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（八）慢性病综合防治体制机制改革方向一（健全社会共建共治体系） </w:t>
      </w:r>
    </w:p>
    <w:p w14:paraId="3C787CB4">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指导处：省疾控局公卫处 </w:t>
      </w:r>
    </w:p>
    <w:p w14:paraId="2EAE1633">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目标任务：围绕共建共治共享目标，整合相关部门资源，优化慢性病综合防治策略，健全慢性病综合防控工作机制和激励约束机制，推动环境整治、烟草控制、体育健身、科普宣传等综合干预政策措施落实，促进健康支持性硬环境和软环境持续改善，提升居民健康行为依从性，形成全社会共防共治慢性病格局。 </w:t>
      </w:r>
    </w:p>
    <w:p w14:paraId="2AFAD37B">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（九）慢性病综合防治体制机制改革方向二（健全医防协同体制机制）</w:t>
      </w:r>
    </w:p>
    <w:p w14:paraId="2C3D7E4D">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指导处：省疾控局公卫处 </w:t>
      </w:r>
    </w:p>
    <w:p w14:paraId="3AF93A03">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目标任务：围绕加强慢性病联防联控目标，依托紧密型城市医联体和紧密型县域医共体，加强慢性病专业防治体系“六中心”内涵建设，推动医疗卫生机构在加强慢性病防治协作意愿、优化协作模式、提升协作成效等方面探索破题，促进实现信息化支撑下的慢性病“防筛治康管护”综合、全程、连续服务。 </w:t>
      </w:r>
    </w:p>
    <w:p w14:paraId="758E4BF9">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（十）慢性病综合防治体制机制改革方向三（完善医防融合服务机制） </w:t>
      </w:r>
    </w:p>
    <w:p w14:paraId="5122B327">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指导处：省疾控局公卫处 </w:t>
      </w:r>
    </w:p>
    <w:p w14:paraId="1D21D9D1">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目标任务：围绕促进医疗机构慢性病医防融合目标，推动医疗机构优化慢性病防治服务流程和服务模式，在丰富服务内容、落实防治责任、建立激励约束机制等方面探索破题，促进医疗机构加强超重、肥胖防治，强化“四大慢病”及其并发症的预防、早期筛查、运动营养干预和随访管理工作，探索推进多病共防、多病共治。 </w:t>
      </w:r>
    </w:p>
    <w:p w14:paraId="2FE47A4B">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（十一）完善医疗机构疾病预防控制工作评价工作机制 </w:t>
      </w:r>
    </w:p>
    <w:p w14:paraId="57086448">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指导处：省疾控局监督处 </w:t>
      </w:r>
    </w:p>
    <w:p w14:paraId="4883CECE">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目标任务：组织医疗机构、疾控监督员、相关专业公共卫生机构等，对照《四川省医疗机构疾病预防控制工作评价指标（试行）》实施多层级评价；建立“医疗机构—疾控监督员—公共卫生机构—疾控部门”四方协同评价机制，探索评价结果有效运用，深入推进医防协同、医防融合。</w:t>
      </w:r>
    </w:p>
    <w:p w14:paraId="37C5FB6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0304915-DEFB-4176-83B2-839FC485C1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3639B6E8-CF78-4160-A22E-A80B65624D05}"/>
  </w:font>
  <w:font w:name="方正仿宋_GB2312">
    <w:panose1 w:val="02000000000000000000"/>
    <w:charset w:val="86"/>
    <w:family w:val="auto"/>
    <w:pitch w:val="default"/>
    <w:sig w:usb0="A00002BF" w:usb1="184F6CFA" w:usb2="00000012" w:usb3="00000000" w:csb0="00040001" w:csb1="00000000"/>
    <w:embedRegular r:id="rId3" w:fontKey="{4F15BE90-E6B2-4C84-BD44-9EB875C8C447}"/>
  </w:font>
  <w:font w:name="方正小标宋简体">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963F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2025-06-10T01:52:14Z</dcterms:created>
  <dc:creator>KJB</dc:creator>
  <cp:lastModifiedBy>WPS_1489729600</cp:lastModifiedBy>
  <dcterms:modified xsi:type="dcterms:W3CDTF">2025-06-10T01:53:18Z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eyJoZGlkIjoiMWNlYTk4NzI2OGM4MDNiMTA4OGNkMjFkNDU1ODY1NzYiLCJ1c2VySWQiOiIyNjk4NzEyNTIifQ==</vt:lpwstr>
  </property>
  <property fmtid="{D5CDD505-2E9C-101B-9397-08002B2CF9AE}" pid="4" name="ICV">
    <vt:lpwstr>BE1432B6480C4C32A604E2D93E4842BB_12</vt:lpwstr>
  </property>
</Properties>
</file>