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5BB579B">
      <w:pPr>
        <w:keepNext w:val="0"/>
        <w:keepLines w:val="0"/>
        <w:pageBreakBefore w:val="0"/>
        <w:widowControl w:val="0"/>
        <w:kinsoku/>
        <w:wordWrap/>
        <w:overflowPunct/>
        <w:topLinePunct w:val="0"/>
        <w:autoSpaceDE/>
        <w:autoSpaceDN/>
        <w:bidi w:val="0"/>
        <w:adjustRightInd w:val="0"/>
        <w:snapToGrid w:val="0"/>
        <w:spacing w:line="580" w:lineRule="exact"/>
        <w:ind w:right="0" w:rightChars="0"/>
        <w:jc w:val="both"/>
        <w:textAlignment w:val="auto"/>
        <w:outlineLvl w:val="9"/>
        <w:rPr>
          <w:rFonts w:hint="default" w:ascii="Times New Roman" w:hAnsi="Times New Roman" w:eastAsia="黑体" w:cs="Times New Roman"/>
          <w:color w:val="000000"/>
          <w:sz w:val="32"/>
          <w:szCs w:val="32"/>
          <w:highlight w:val="none"/>
          <w:shd w:val="clear" w:color="auto" w:fill="FFFFFF"/>
          <w:lang w:val="en-US" w:eastAsia="zh-CN"/>
        </w:rPr>
      </w:pPr>
      <w:r>
        <w:rPr>
          <w:rFonts w:hint="default" w:ascii="Times New Roman" w:hAnsi="Times New Roman" w:eastAsia="黑体" w:cs="Times New Roman"/>
          <w:color w:val="000000"/>
          <w:sz w:val="32"/>
          <w:szCs w:val="32"/>
          <w:highlight w:val="none"/>
          <w:shd w:val="clear" w:color="auto" w:fill="FFFFFF"/>
          <w:lang w:val="en-US" w:eastAsia="zh-CN"/>
        </w:rPr>
        <w:t>附件1</w:t>
      </w:r>
      <w:bookmarkStart w:id="0" w:name="_GoBack"/>
      <w:bookmarkEnd w:id="0"/>
    </w:p>
    <w:p w14:paraId="35E19855">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 xml:space="preserve"> </w:t>
      </w:r>
    </w:p>
    <w:p w14:paraId="219598C8">
      <w:pPr>
        <w:keepNext w:val="0"/>
        <w:keepLines w:val="0"/>
        <w:pageBreakBefore w:val="0"/>
        <w:widowControl w:val="0"/>
        <w:kinsoku/>
        <w:wordWrap/>
        <w:overflowPunct/>
        <w:topLinePunct w:val="0"/>
        <w:autoSpaceDE/>
        <w:autoSpaceDN/>
        <w:bidi w:val="0"/>
        <w:adjustRightInd w:val="0"/>
        <w:snapToGrid w:val="0"/>
        <w:spacing w:line="580" w:lineRule="exact"/>
        <w:ind w:right="0" w:rightChars="0"/>
        <w:jc w:val="center"/>
        <w:textAlignment w:val="auto"/>
        <w:outlineLvl w:val="9"/>
        <w:rPr>
          <w:rFonts w:hint="default" w:ascii="Times New Roman" w:hAnsi="Times New Roman" w:eastAsia="方正小标宋简体" w:cs="Times New Roman"/>
          <w:color w:val="000000"/>
          <w:sz w:val="44"/>
          <w:szCs w:val="44"/>
          <w:highlight w:val="none"/>
          <w:shd w:val="clear" w:color="auto" w:fill="FFFFFF"/>
          <w:lang w:val="en-US" w:eastAsia="zh-CN"/>
        </w:rPr>
      </w:pPr>
      <w:r>
        <w:rPr>
          <w:rFonts w:hint="default" w:ascii="Times New Roman" w:hAnsi="Times New Roman" w:eastAsia="方正小标宋简体" w:cs="Times New Roman"/>
          <w:color w:val="000000"/>
          <w:sz w:val="44"/>
          <w:szCs w:val="44"/>
          <w:highlight w:val="none"/>
          <w:shd w:val="clear" w:color="auto" w:fill="FFFFFF"/>
          <w:lang w:val="en-US" w:eastAsia="zh-CN"/>
        </w:rPr>
        <w:t>2025年四川省卫生健康委员会医学科技项目</w:t>
      </w:r>
    </w:p>
    <w:p w14:paraId="50344705">
      <w:pPr>
        <w:keepNext w:val="0"/>
        <w:keepLines w:val="0"/>
        <w:pageBreakBefore w:val="0"/>
        <w:widowControl w:val="0"/>
        <w:kinsoku/>
        <w:wordWrap/>
        <w:overflowPunct/>
        <w:topLinePunct w:val="0"/>
        <w:autoSpaceDE/>
        <w:autoSpaceDN/>
        <w:bidi w:val="0"/>
        <w:adjustRightInd w:val="0"/>
        <w:snapToGrid w:val="0"/>
        <w:spacing w:line="580" w:lineRule="exact"/>
        <w:ind w:right="0" w:rightChars="0"/>
        <w:jc w:val="center"/>
        <w:textAlignment w:val="auto"/>
        <w:outlineLvl w:val="9"/>
        <w:rPr>
          <w:rFonts w:hint="default" w:ascii="Times New Roman" w:hAnsi="Times New Roman" w:eastAsia="方正小标宋简体" w:cs="Times New Roman"/>
          <w:color w:val="000000"/>
          <w:sz w:val="44"/>
          <w:szCs w:val="44"/>
          <w:highlight w:val="none"/>
          <w:shd w:val="clear" w:color="auto" w:fill="FFFFFF"/>
          <w:lang w:val="en-US" w:eastAsia="zh-CN"/>
        </w:rPr>
      </w:pPr>
      <w:r>
        <w:rPr>
          <w:rFonts w:hint="default" w:ascii="Times New Roman" w:hAnsi="Times New Roman" w:eastAsia="方正小标宋简体" w:cs="Times New Roman"/>
          <w:color w:val="000000"/>
          <w:sz w:val="44"/>
          <w:szCs w:val="44"/>
          <w:highlight w:val="none"/>
          <w:shd w:val="clear" w:color="auto" w:fill="FFFFFF"/>
          <w:lang w:val="en-US" w:eastAsia="zh-CN"/>
        </w:rPr>
        <w:t>申报指南</w:t>
      </w:r>
    </w:p>
    <w:p w14:paraId="1223A37D">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p>
    <w:p w14:paraId="50913655">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为进一步加强全省卫生健康领域科技创新和成果转化，推动卫生健康事业高质量发展，根据《加快培育新质生产力全面激发卫生健康发展新动能的若干措施》《四川省“十四五”卫生健康科技创新专项规划》等文件要求，拟启动2025年省卫生健康委医学科技项目申报工作，具体申报指南如下：</w:t>
      </w:r>
    </w:p>
    <w:p w14:paraId="2C089D4A">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黑体" w:cs="Times New Roman"/>
          <w:color w:val="000000"/>
          <w:sz w:val="32"/>
          <w:szCs w:val="32"/>
          <w:highlight w:val="none"/>
          <w:shd w:val="clear" w:color="auto" w:fill="FFFFFF"/>
          <w:lang w:val="en-US" w:eastAsia="zh-CN"/>
        </w:rPr>
      </w:pPr>
      <w:r>
        <w:rPr>
          <w:rFonts w:hint="default" w:ascii="Times New Roman" w:hAnsi="Times New Roman" w:eastAsia="黑体" w:cs="Times New Roman"/>
          <w:color w:val="000000"/>
          <w:sz w:val="32"/>
          <w:szCs w:val="32"/>
          <w:highlight w:val="none"/>
          <w:shd w:val="clear" w:color="auto" w:fill="FFFFFF"/>
          <w:lang w:val="en-US" w:eastAsia="zh-CN"/>
        </w:rPr>
        <w:t>一、临床研究项目（委校协同）</w:t>
      </w:r>
    </w:p>
    <w:p w14:paraId="5BA297D5">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000000"/>
          <w:sz w:val="32"/>
          <w:szCs w:val="32"/>
          <w:highlight w:val="none"/>
          <w:shd w:val="clear" w:color="auto" w:fill="FFFFFF"/>
          <w:lang w:val="en-US" w:eastAsia="zh-CN"/>
        </w:rPr>
      </w:pPr>
      <w:r>
        <w:rPr>
          <w:rFonts w:hint="eastAsia" w:ascii="仿宋_GB2312" w:hAnsi="仿宋_GB2312" w:eastAsia="仿宋_GB2312" w:cs="仿宋_GB2312"/>
          <w:color w:val="000000"/>
          <w:sz w:val="32"/>
          <w:szCs w:val="32"/>
          <w:highlight w:val="none"/>
          <w:shd w:val="clear" w:color="auto" w:fill="FFFFFF"/>
          <w:lang w:val="en-US" w:eastAsia="zh-CN"/>
        </w:rPr>
        <w:t>（一）资助方向</w:t>
      </w:r>
    </w:p>
    <w:p w14:paraId="52947462">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eastAsia" w:ascii="仿宋_GB2312" w:hAnsi="仿宋_GB2312" w:eastAsia="仿宋_GB2312" w:cs="仿宋_GB2312"/>
          <w:color w:val="000000"/>
          <w:sz w:val="32"/>
          <w:szCs w:val="32"/>
          <w:highlight w:val="none"/>
          <w:shd w:val="clear" w:color="auto" w:fill="FFFFFF"/>
          <w:lang w:val="en-US" w:eastAsia="zh-CN"/>
        </w:rPr>
      </w:pPr>
      <w:r>
        <w:rPr>
          <w:rFonts w:hint="eastAsia" w:ascii="仿宋_GB2312" w:hAnsi="仿宋_GB2312" w:eastAsia="仿宋_GB2312" w:cs="仿宋_GB2312"/>
          <w:color w:val="000000"/>
          <w:sz w:val="32"/>
          <w:szCs w:val="32"/>
          <w:highlight w:val="none"/>
          <w:shd w:val="clear" w:color="auto" w:fill="FFFFFF"/>
          <w:lang w:val="en-US" w:eastAsia="zh-CN"/>
        </w:rPr>
        <w:t>方向一：常见病、多发病诊疗研究</w:t>
      </w:r>
    </w:p>
    <w:p w14:paraId="2D550E34">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聚焦恶性肿瘤、呼吸系统疾病、循环系统疾病、消化系统疾病、代谢性疾病、睡眠障碍、精神卫生、高原医学等常见病、多发病，开展临床应用性研究，探索相关疾病科学、规范、长期诊疗管理方案；鼓励开展中西医结合诊疗技术研究。鼓励开展高质量多中心临床研究。</w:t>
      </w:r>
    </w:p>
    <w:p w14:paraId="6B5B815A">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方向二：重点人群疾病防治技术研究</w:t>
      </w:r>
    </w:p>
    <w:p w14:paraId="13EDCA0F">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围绕新生儿、儿童和青少年、妇女、老年人等重点人群健康需求，开展疾病诊疗新技术、新方法的临床研究；针对新生儿、儿童和青少年群体，聚焦发育异常、近视防控、血液病、心脏病、恶性肿瘤等重大疾病，构建疾病风险预测模型，提出个体化精准治疗决策；针对女性健康保障，围绕围产期保健、妇科肿瘤等研究，挖掘疾病高危风险因素，开展精准评估和治疗应用研究，构建生育力保护体系，提升妇女健康保障水平；面向老年人健康管理，针对老年人共病高发特点，开展老年共病患者健康行为模式研究，开展健康风险评估和自主管理等关键技术研究。鼓励开展高质量多中心临床研究。</w:t>
      </w:r>
    </w:p>
    <w:p w14:paraId="2735CC25">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方向三：慢性病早诊早治领域</w:t>
      </w:r>
    </w:p>
    <w:p w14:paraId="6CA21F20">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围绕我省居民健康危险因素，聚焦心脑血管系统疾病、呼吸系统疾病、糖尿病、骨质疏松症、肥胖等代谢性疾病领域，开展慢性疾病诊疗防治，提高健康干预和早诊早治能力，探索慢性病健康管理新手段和新模式。鼓励开展高质量多中心临床研究。</w:t>
      </w:r>
    </w:p>
    <w:p w14:paraId="0ECFC345">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方向四：人工智能与数字医疗</w:t>
      </w:r>
    </w:p>
    <w:p w14:paraId="33493880">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以临床需求为导向、以人工智能技术创新为驱动，充分发挥大数据与人工智能等新一代信息技术的支撑作用，聚焦深度学习技术，围绕数据、算法和平台工具三大核心，构建贯穿“高危风险预警、早期精准诊断、个体化治疗决策、疗效动态监测”全流程的智能辅助系统，推动人工智能在疾病诊断、疗效评估和治疗决策等关键环节的临床应用与转化。</w:t>
      </w:r>
    </w:p>
    <w:p w14:paraId="1C75CA4A">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方向五：重大传染病防控</w:t>
      </w:r>
    </w:p>
    <w:p w14:paraId="08B37932">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围绕重大传染性疾病防控需求，聚焦传染病发病机制、诊疗方案、疗效研究及综合干预，提出重大传染性疾病精准防控及诊治新技术和新方案。</w:t>
      </w:r>
    </w:p>
    <w:p w14:paraId="08DCB845">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方向六：核医学</w:t>
      </w:r>
    </w:p>
    <w:p w14:paraId="31EA90C9">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围绕医用同位素，研发新型诊疗一体化放射性药物，开展诊疗放射性药物临床前评价、临床转化、临床应用研究。探究免疫治疗、化疗等手段与放射性药物联用的策略及创新诊疗技术与方法，进一步提高放射性药物的临床诊疗效果。面向新型与经典靶点的核素诊疗技术，分别开展“发现—验证—转化”与“优化—标准化—证据化”研究。围绕核医学影像装备，开展放射治疗装备的临床前评价，重点针对诊疗核素生产的放疗装备、新型粒子治疗系统等开展临床前标准制定攻关。</w:t>
      </w:r>
    </w:p>
    <w:p w14:paraId="73704B0E">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（二）资助数量：根据每所院校资助需求，具体项目数经相关高校明确资助经费后确定。</w:t>
      </w:r>
    </w:p>
    <w:p w14:paraId="05FCA9E3">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（三）资助经费：10万/项，委校协同项目由5所省属医学院校（西南医科大学、成都中医药大学、川北医学院、成都医学院、四川护理职业学院）负责资助，项目承担单位按不低于1:2配套。</w:t>
      </w:r>
    </w:p>
    <w:p w14:paraId="483EF2E5">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（四）实施周期：3年。</w:t>
      </w:r>
    </w:p>
    <w:p w14:paraId="7A149EEC">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（五）申报条件</w:t>
      </w:r>
    </w:p>
    <w:p w14:paraId="7B1A1324">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1.申报单位要求：原则上为5所省属医学院校以及附属医院。</w:t>
      </w:r>
    </w:p>
    <w:p w14:paraId="217015E2">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2.申报人要求：项目负责人须为申报单位在职在岗人员。项目负责人应具有中级及以上专业技术职称，年龄原则上不超过60周岁（1965年1月1日以后出生），具有较强临床研究能力，具有丰富的与申报项目紧密相关的前期工作成果。</w:t>
      </w:r>
    </w:p>
    <w:p w14:paraId="4942CF54">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3.每所省属医学院校（含资助的附属医院）推荐申报数量不超过拟资助数量的2倍，5所医学院校需提供推荐项目名单，并加盖出资单位公章，书面复函省卫生健康委。</w:t>
      </w:r>
    </w:p>
    <w:p w14:paraId="43FAA745">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（六）考核指标（最低满足下列条件其中3项）：</w:t>
      </w:r>
    </w:p>
    <w:p w14:paraId="59FC8464">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1.以第一作者或者通讯作者发表与研究相关的论著（中文核心、CSCD或SCI）不少于2篇；</w:t>
      </w:r>
    </w:p>
    <w:p w14:paraId="09FF67C7">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2.申请软著、专利不少于2项；</w:t>
      </w:r>
    </w:p>
    <w:p w14:paraId="28FAA4B1">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3.实现成果转化1项以上，具有一定社会价值或经济价值；</w:t>
      </w:r>
    </w:p>
    <w:p w14:paraId="34907FD6">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4.制定的诊疗指南和标准规范、经行业认可的专家共识、提出的疾病防控策略建议被行业部门采纳1项及以上；</w:t>
      </w:r>
    </w:p>
    <w:p w14:paraId="1F9FE394">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5.形成可推广的规范化治疗操作新方案。</w:t>
      </w:r>
    </w:p>
    <w:p w14:paraId="1496FF68">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黑体" w:cs="Times New Roman"/>
          <w:color w:val="000000"/>
          <w:sz w:val="32"/>
          <w:szCs w:val="32"/>
          <w:highlight w:val="none"/>
          <w:shd w:val="clear" w:color="auto" w:fill="FFFFFF"/>
          <w:lang w:val="en-US" w:eastAsia="zh-CN"/>
        </w:rPr>
      </w:pPr>
      <w:r>
        <w:rPr>
          <w:rFonts w:hint="default" w:ascii="Times New Roman" w:hAnsi="Times New Roman" w:eastAsia="黑体" w:cs="Times New Roman"/>
          <w:color w:val="000000"/>
          <w:sz w:val="32"/>
          <w:szCs w:val="32"/>
          <w:highlight w:val="none"/>
          <w:shd w:val="clear" w:color="auto" w:fill="FFFFFF"/>
          <w:lang w:val="en-US" w:eastAsia="zh-CN"/>
        </w:rPr>
        <w:t>二、青年苗圃项目（委市协同）</w:t>
      </w:r>
    </w:p>
    <w:p w14:paraId="6102CF9E">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（一）资助方向：支持卫生健康青年科学技术人员针对临床诊疗、疾病防控和公共卫生管理等实际工作中遇到的问题开展自主选题、自主探索，激发卫生健康青年科技人员的创新思维。</w:t>
      </w:r>
    </w:p>
    <w:p w14:paraId="0CFD88E7">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（二）资助数量：成都市不超过20项，其他市（州）不超过10项，委市协同项目由各市（州）分别负责资助本市属医疗卫生单位，具体项目数量经相关市（州）明确资助经费后复函确定。</w:t>
      </w:r>
    </w:p>
    <w:p w14:paraId="57BE04EB">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（三）资助经费：10万/项；项目承担单位按不低于1:1比例配套。</w:t>
      </w:r>
    </w:p>
    <w:p w14:paraId="2A2BC11D">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（四）实施周期：2年。</w:t>
      </w:r>
    </w:p>
    <w:p w14:paraId="4F9D1C14">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（五）申报条件</w:t>
      </w:r>
    </w:p>
    <w:p w14:paraId="28E05F92">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1.申报单位要求：申报单位须为各市（州）具有独立法人资格的各级各类医疗卫生单位。</w:t>
      </w:r>
    </w:p>
    <w:p w14:paraId="35047D17">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2.申报人要求：项目负责人须为申报单位在职在岗人员，具有初级及以上职称，年龄原则上不超过40周岁（1985年1月1日后出生）的青年科技人才。</w:t>
      </w:r>
    </w:p>
    <w:p w14:paraId="55A26B00">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3.各市（州）推荐申报项目数量不超过拟资助数量的2倍，各市（州）需提供推荐项目名单，并加盖出资单位公章，书面复函省卫生健康委。</w:t>
      </w:r>
    </w:p>
    <w:p w14:paraId="734601C0">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六）考核指标：青年苗圃项目项目负责人以第一作者或者通讯作者发表与研究相关的论著（中文核心、CSCD或SCI）不少于1篇；或申请专利、软著不少于1项；或以此研究为基础申请立项省级自然科学基金或国家自然科学基金。</w:t>
      </w:r>
    </w:p>
    <w:p w14:paraId="635394F6">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黑体" w:cs="Times New Roman"/>
          <w:color w:val="000000"/>
          <w:sz w:val="32"/>
          <w:szCs w:val="32"/>
          <w:highlight w:val="none"/>
          <w:shd w:val="clear" w:color="auto" w:fill="FFFFFF"/>
          <w:lang w:val="en-US" w:eastAsia="zh-CN"/>
        </w:rPr>
      </w:pPr>
      <w:r>
        <w:rPr>
          <w:rFonts w:hint="default" w:ascii="Times New Roman" w:hAnsi="Times New Roman" w:eastAsia="黑体" w:cs="Times New Roman"/>
          <w:color w:val="000000"/>
          <w:sz w:val="32"/>
          <w:szCs w:val="32"/>
          <w:highlight w:val="none"/>
          <w:shd w:val="clear" w:color="auto" w:fill="FFFFFF"/>
          <w:lang w:val="en-US" w:eastAsia="zh-CN"/>
        </w:rPr>
        <w:t>三、创新团队项目（委市协同）</w:t>
      </w:r>
    </w:p>
    <w:p w14:paraId="58BA17B3">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一）资助方向：以医院专病专科优势，针对临床患者需求，以临床应用为导向，聚焦诊疗服务难点问题，开展“小发明”“小创造”，让科技创新成果贴近“病床”，服务患者。围绕门诊诊疗、住院护理、手术操作、康复指导等场景，积极运用和推广新技术新项目，提升患者就医体验。</w:t>
      </w:r>
    </w:p>
    <w:p w14:paraId="317365DE">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方向一：临床核心技术的微创化、精准化改良创新</w:t>
      </w:r>
    </w:p>
    <w:p w14:paraId="4B7C3807">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面向外科手术、急危重症抢救、重点专科操作等核心临床场景，鼓励对现有技术进行安全性、有效性或效率层面的革新性改良。支持探索新型微无创/介入入路、疑难手术的辅助导航技术、危急重症的快速评估与救治流程、医学人工智能辅助诊疗工具、新型康复器具的研发与应用等。强调技术的先进性、适宜性与可推广性，目标在于突破技术瓶颈，缩短学习曲线，并形成可在区域内推广的技术标准或操作规范。</w:t>
      </w:r>
    </w:p>
    <w:p w14:paraId="2C988701">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方向二：患者全流程服务体验的智能化与人性化改善</w:t>
      </w:r>
    </w:p>
    <w:p w14:paraId="10170E36">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以患者为中心，聚焦门诊、住院、护理、康复、随访等全流程环节，利用信息化、智能化手段开展服务模式创新。重点支持基于“互联网+医疗健康”的流程优化（如智能分诊、预约检查、床旁结算）、慢性病数字化管理平台构建、远程协同诊疗模式探索、以及提升医患沟通效率和患者依从性的工具开发。核心目标是切实提升医疗服务可及性、便捷性和患者满意度。</w:t>
      </w:r>
    </w:p>
    <w:p w14:paraId="409D3DFA">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方向三：医+X协同创新</w:t>
      </w:r>
    </w:p>
    <w:p w14:paraId="191E2C5B">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组建“医学+工业”“医院+工厂”“医生+工程师”等跨领域协同创新团队，建立临床需求与产业研发精准对接机制，深化医疗机构与企业在产品立项攻关、临床试验中的协同合作。重点围绕人工智能、可穿戴设备、精准监测技术、康复辅助器具、适老性产品及智慧健康产品等涉及生命科学开展创新研发，推动成果快速转化落地诊疗一线，强化医疗技术支撑与患者服务保障能力。</w:t>
      </w:r>
    </w:p>
    <w:p w14:paraId="08916865">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（二）资助数量：成都市不超过10项，其他市（州）不超过5项，委市协同项目由各市（州）负责分别资助本市属医疗卫生单位，具体项目数量经相关市（州）明确资助经费后复函确定。</w:t>
      </w:r>
    </w:p>
    <w:p w14:paraId="39387BF7">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（三）资助经费：10万/项，项目承担单位需按不低于1:2比例配套。</w:t>
      </w:r>
    </w:p>
    <w:p w14:paraId="7D4C9E96">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（四）实施周期：3年。</w:t>
      </w:r>
    </w:p>
    <w:p w14:paraId="58465DE6">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（五）申报条件</w:t>
      </w:r>
    </w:p>
    <w:p w14:paraId="1539116F">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1.申报单位要求：申报单位须为各市（州）内具有独立法人资格的市属三级医疗卫生机构。</w:t>
      </w:r>
    </w:p>
    <w:p w14:paraId="7D784BAD">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2.申报人要求：项目负责人须为申报单位在职在岗人员，具有中级及以上专业技术职称，年龄原则上不超过60周岁（1965年1月1日以后出生），具有较强科研能力，具有丰富的与申报项目紧密相关的前期工作成果。</w:t>
      </w:r>
    </w:p>
    <w:p w14:paraId="5326BC46">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3.各市（州）推荐申报项目数量不超过拟资助数量的2倍，各市（州）需提供推荐项目名单，并加盖出资单位公章，书面复函省卫生健康委。</w:t>
      </w:r>
    </w:p>
    <w:p w14:paraId="1D488341">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（六）考核指标（最低满足下列条件其中6项）：</w:t>
      </w:r>
    </w:p>
    <w:p w14:paraId="7072F5E8">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1.形成可在区域内推广的临床诊疗路径、技术操作规范、质量管理标准或服务模式方案不少于1套，并被本单位或协同单位正式采纳应用；</w:t>
      </w:r>
    </w:p>
    <w:p w14:paraId="3031BAAC">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2.成功完成不少于1项院内或区域内新技术、新项目备案，并提供规范的临床应用报告；</w:t>
      </w:r>
    </w:p>
    <w:p w14:paraId="58802992">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3.提供客观数据对比，证明所研究病种/技术的质量和效率具有显著改善；</w:t>
      </w:r>
    </w:p>
    <w:p w14:paraId="350084D0">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4.通过项目实施，团队中至少培养1-2名能独立承担相关技术/业务的青年核心骨干，并有明确证据显示其能力提升（如获得院级及以上荣誉、在学术会议报告、职称晋升等）；</w:t>
      </w:r>
    </w:p>
    <w:p w14:paraId="28986008">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5.通过规范的患者满意度调查或患者报告结局（PROs）量表评估，证实患者的就医体验、生活质量或服务满意度较前有明确提升；</w:t>
      </w:r>
    </w:p>
    <w:p w14:paraId="3AED8360">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6.主办或承办面向区域的专项技术推广培训班、学术沙龙或继续教育项目不少于1次，培训覆盖区域内医务人员，产生积极影响；</w:t>
      </w:r>
    </w:p>
    <w:p w14:paraId="51FEC673">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7.成果转化具有一定的社会效益或经济效益；</w:t>
      </w:r>
    </w:p>
    <w:p w14:paraId="5F3687E6">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8.以第一作者或者通讯作者发表与研究相关的论著（中文核心、CSCD或SCI）不少于1篇；</w:t>
      </w:r>
    </w:p>
    <w:p w14:paraId="6E5D3AFA">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9.申请软著、专利不少于1项。</w:t>
      </w:r>
    </w:p>
    <w:p w14:paraId="7FAF6612">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黑体" w:cs="Times New Roman"/>
          <w:color w:val="000000"/>
          <w:sz w:val="32"/>
          <w:szCs w:val="32"/>
          <w:highlight w:val="none"/>
          <w:shd w:val="clear" w:color="auto" w:fill="FFFFFF"/>
          <w:lang w:val="en-US" w:eastAsia="zh-CN"/>
        </w:rPr>
      </w:pPr>
      <w:r>
        <w:rPr>
          <w:rFonts w:hint="default" w:ascii="Times New Roman" w:hAnsi="Times New Roman" w:eastAsia="黑体" w:cs="Times New Roman"/>
          <w:color w:val="000000"/>
          <w:sz w:val="32"/>
          <w:szCs w:val="32"/>
          <w:highlight w:val="none"/>
          <w:shd w:val="clear" w:color="auto" w:fill="FFFFFF"/>
          <w:lang w:val="en-US" w:eastAsia="zh-CN"/>
        </w:rPr>
        <w:t>四、疾控专项（委市协同）</w:t>
      </w:r>
    </w:p>
    <w:p w14:paraId="55E83AE2">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一）资助方向：依托疾控机构专业及体系优势，针对重点人群健康需求，以疾病有效防控为导向，聚焦难点问题，围绕传染病监测与控制、同一健康、实验室检测、医防协同等关键领域，开展技术创新与管理优化，服务于公共卫生安全保障。</w:t>
      </w:r>
    </w:p>
    <w:p w14:paraId="67343587">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方向一：传染病监测预警与精准防控</w:t>
      </w:r>
    </w:p>
    <w:p w14:paraId="7214BA69">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基于信息新技术研究，开展潜在疫情的早期信号探测，提升传染病监测预警预测分析能力，强化传染病症候群智能监测及早期预警研究。构建与应用突发新发急性传染病以及艾滋病、结核病等重大传染病的症候群智能识别与风险评估模型；聚焦重点人群及重点场所，开发精准防控新技术和制定新策略。核心目标是提升传染病监测预警能力，实现传染病的早发现、早预警，开展应急精准防控，保障公众生命安全和身体健康。</w:t>
      </w:r>
    </w:p>
    <w:p w14:paraId="77CD100A">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方向二：“同一健康”与“五大卫生”关键技术研究</w:t>
      </w:r>
    </w:p>
    <w:p w14:paraId="56019645">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开展基于气象、环境等综合因素的蚊媒传染病、寄生虫病防控关键技术研究。聚焦重点、新型职业病及其危害因素，开展流行现状调查、风险评估模型构建、快速精准检测技术及干预策略研究。开展放射防护与质量控制检测方法研究与推广应用。开展环境卫生、食品卫生相关健康危害因素安全监控与风险评估、新污染物的筛查识别与人群暴露评价相关研究。开展学生常见病及其危险因素研究。核心目标是提高环境和社会因素影响人群健康的危害因素识别和应对能力。</w:t>
      </w:r>
    </w:p>
    <w:p w14:paraId="08F64B24">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方向三：公共卫生实验室检测技术研究</w:t>
      </w:r>
    </w:p>
    <w:p w14:paraId="4FD69A53">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开展区域内重点监测的急性传染病病原及重大传染病病原检测研究，收集基因组序列、流行病学数据、患者临床诊疗信息以及环境相关数据，整合和构建多维度病原信息资源库。基于基因组数据，开展病原溯源、识别关键氨基酸位点突变、病原系统发育与进化分析研究。核心目标是推动公共卫生类实验室检测关键技术的发展，提升传染病检测发现能力。</w:t>
      </w:r>
    </w:p>
    <w:p w14:paraId="36BA3AEF">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方向四：医防协同、医防融合的疾病综合防控研究</w:t>
      </w:r>
    </w:p>
    <w:p w14:paraId="49A0DC48">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促进医疗机构与疾控机构的深度融合，建立人员通、信息通、资源通的协同机制。开展多病共管的综合防控模式研究，加强艾滋病、结核病等重大传染病的救治管理及慢性病患者的健康管理。聚焦重点人群、重点疾病与重点场所，探索区域性、多模态健康数据的采集、协同治理与应用模式，推动重大疾病防控社会共治，提升防控成效。核心目标是提高群众健康水平，提升重点人群公共卫生类服务满意度，促进医防协同、医防融合和社会共治。</w:t>
      </w:r>
    </w:p>
    <w:p w14:paraId="12B75ABB">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（二）资助数量：成都市不超过4项，其他市（州）不超过2项，总体项目数量不超过20项。</w:t>
      </w:r>
    </w:p>
    <w:p w14:paraId="578101AE">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（三）资助经费：10万/项，各级负责资助本地所属疾控机构。</w:t>
      </w:r>
    </w:p>
    <w:p w14:paraId="54609A4F">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（四）实施周期：2年。</w:t>
      </w:r>
    </w:p>
    <w:p w14:paraId="50E5D599">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（五）申报条件</w:t>
      </w:r>
    </w:p>
    <w:p w14:paraId="15D05CD0">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1.申报单位要求：申报单位须为各市（州）三级乙等及以上等级的市、县疾控机构。</w:t>
      </w:r>
    </w:p>
    <w:p w14:paraId="1817A479">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2.申报人要求：项目负责人应具有中级及以上专业技术职称，年龄原则上不超过60周岁（1965年1月1日以后出生），具有较强科研能力，具有丰富的与申报项目紧密相关的前期工作成果。</w:t>
      </w:r>
    </w:p>
    <w:p w14:paraId="671269C7">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3.各市（州）推荐的申报项目数量不超过拟资助数量的2倍，各市（州）需提供推荐申报项目名单，并加盖公章。</w:t>
      </w:r>
    </w:p>
    <w:p w14:paraId="3B329CC9">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4.鼓励联合申报。</w:t>
      </w:r>
    </w:p>
    <w:p w14:paraId="36392D98">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（六）考核指标（最低满足下列条件其中6项）：</w:t>
      </w:r>
    </w:p>
    <w:p w14:paraId="21FCADF4">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1.形成或建立可在区域内推广的防控方案、工作指南、应急预案、实验室检测方案或质控方案等不少于1套，并被上级或本级卫生健康主管部门或疾病预防控制部门正式采纳应用。</w:t>
      </w:r>
    </w:p>
    <w:p w14:paraId="1BF43BA0">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2.形成相关的技术标准草案，并完成相关意见征集及试点应用。</w:t>
      </w:r>
    </w:p>
    <w:p w14:paraId="18572970">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3.通过项目实施，团队中至少1名成员在项目开展期间获得职称晋升。</w:t>
      </w:r>
    </w:p>
    <w:p w14:paraId="283F2063">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4.通过规范的服务对象满意度调查，证实服务对象的生活质量或服务满意度较前有明确提升。</w:t>
      </w:r>
    </w:p>
    <w:p w14:paraId="2B3624D1">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5.开展面向区域的专项技术推广或承办继续教育项目不少于1次，培训覆盖区域内专业技术人员，产生积极影响。</w:t>
      </w:r>
    </w:p>
    <w:p w14:paraId="2985D218">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6.成果转化具有一定的社会效益或经济效益。</w:t>
      </w:r>
    </w:p>
    <w:p w14:paraId="1D382F8E">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7.以第一作者或者通讯作者发表与研究相关的论著（中文核心、科技核心、CSCD或SCI）不少于1篇。</w:t>
      </w:r>
    </w:p>
    <w:p w14:paraId="3B96EAAF">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8.申请软著、专利不少于1项。</w:t>
      </w:r>
    </w:p>
    <w:p w14:paraId="55BE1B46">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9.形成政策建议报告不少于1份，被上级或本级卫生健康主管部门或疾病预防控制部门采纳。</w:t>
      </w:r>
    </w:p>
    <w:p w14:paraId="53A19370">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黑体" w:cs="Times New Roman"/>
          <w:color w:val="000000"/>
          <w:sz w:val="32"/>
          <w:szCs w:val="32"/>
          <w:highlight w:val="none"/>
          <w:shd w:val="clear" w:color="auto" w:fill="FFFFFF"/>
          <w:lang w:val="en-US" w:eastAsia="zh-CN"/>
        </w:rPr>
      </w:pPr>
      <w:r>
        <w:rPr>
          <w:rFonts w:hint="default" w:ascii="Times New Roman" w:hAnsi="Times New Roman" w:eastAsia="黑体" w:cs="Times New Roman"/>
          <w:color w:val="000000"/>
          <w:sz w:val="32"/>
          <w:szCs w:val="32"/>
          <w:highlight w:val="none"/>
          <w:shd w:val="clear" w:color="auto" w:fill="FFFFFF"/>
          <w:lang w:val="en-US" w:eastAsia="zh-CN"/>
        </w:rPr>
        <w:t>五、软科学项目</w:t>
      </w:r>
    </w:p>
    <w:p w14:paraId="57D058F2">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（一）资助方向</w:t>
      </w:r>
    </w:p>
    <w:p w14:paraId="742D0543">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1.软科学不定向项目</w:t>
      </w:r>
    </w:p>
    <w:p w14:paraId="25395EA9">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方向一：临床研究型人才的培养模式改革</w:t>
      </w:r>
    </w:p>
    <w:p w14:paraId="76A86849">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考核指标：向省卫生健康委报送：《四川省临床研究型人才培养方案》，并提交试点实施报告。</w:t>
      </w:r>
    </w:p>
    <w:p w14:paraId="6AC5EC88">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方向二：四川省生物医药数据资源和治理体系建设</w:t>
      </w:r>
    </w:p>
    <w:p w14:paraId="46AAF44C">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考核指标：向省卫生健康委报送：《四川省生物医药数据资源标准化管理》和《四川省生物医药数据资源治理体系建设五年规划》。</w:t>
      </w:r>
    </w:p>
    <w:p w14:paraId="38A5BAB4">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方向三：生物样本库的建设与实践</w:t>
      </w:r>
    </w:p>
    <w:p w14:paraId="12A677EA">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考核指标：建成能够满足实际需求的标准化生物样本库1个，样本信息实现数字化管理；并向省卫生健康委报送：《医院生物样本库管理SOP程序》。</w:t>
      </w:r>
    </w:p>
    <w:p w14:paraId="57410C9E">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方向四：多中心临床研究伦理审查互认机制优化推广策略研究</w:t>
      </w:r>
    </w:p>
    <w:p w14:paraId="4F3ABCD9">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考核指标：向省卫生健康委报送：《多中心临床研究伦理审查互认标准操作流程（SOP）专家共识建议稿》、《关于多中心临床研究伦理审查互认机制推广策略研究报告》。</w:t>
      </w:r>
    </w:p>
    <w:p w14:paraId="3DFD2C1C">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方向五：卫生健康领域科研诚信治理体系构建研究。</w:t>
      </w:r>
    </w:p>
    <w:p w14:paraId="271C9AED">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考核指标：向省卫生健康委报送：《四川省卫生健康领域科研诚信现状与治理对策》。</w:t>
      </w:r>
    </w:p>
    <w:p w14:paraId="066376E3">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方向六：研究型医院和研究型病房高质量发展研究探索</w:t>
      </w:r>
    </w:p>
    <w:p w14:paraId="1BA1C555">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考核指标：构建可推广的建设方案，形成可复制推广的实践模式；向省卫生健康委报送：《研究型医院高质量发展的路径探索与策略研究》、《研究型病房高质量发展的路径探索与策略研究》。</w:t>
      </w:r>
    </w:p>
    <w:p w14:paraId="089149BF">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方向七：科技项目多元筹资实施路径及风险防控研究</w:t>
      </w:r>
    </w:p>
    <w:p w14:paraId="7AEBB57F">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考核指标：向省卫生健康委报送：《四川省卫生健康领域多元筹资实施方案》、《科技项目多元筹资风险防控研究》，提出不少于3种可操作的多元筹资模式；通过项目实践，培养科研管理人才3-5名。</w:t>
      </w:r>
    </w:p>
    <w:p w14:paraId="29E07206">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方向八：异种器官移植伦理研究</w:t>
      </w:r>
    </w:p>
    <w:p w14:paraId="56A1B9C3">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考核指标：向省卫生健康委报送：《异种器官移植伦理审查要点和标准》、《异种器官移植伦理风险治理》。</w:t>
      </w:r>
    </w:p>
    <w:p w14:paraId="6227DCB4">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方向九：新药创制与药物安全性评价</w:t>
      </w:r>
    </w:p>
    <w:p w14:paraId="62DC4EE8">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考核指标：向省卫生健康委报送：《新药创制与药物安全性评价及创新发展模式构建》。</w:t>
      </w:r>
    </w:p>
    <w:p w14:paraId="53EE764E">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注：项目考核指标中报送材料名称原则上不予以更改。</w:t>
      </w:r>
    </w:p>
    <w:p w14:paraId="610950B1">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2.软科学定向项目</w:t>
      </w:r>
    </w:p>
    <w:p w14:paraId="61169AA2">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方向一：四川省“十五五”卫生健康发展规划</w:t>
      </w:r>
    </w:p>
    <w:p w14:paraId="51984E79">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根据《开展省“十五五”卫生健康发展规划专项研究课题通知》要求，由各牵头处室组织开展课题研究，验收合格后纳入委医学科技项目。</w:t>
      </w:r>
    </w:p>
    <w:p w14:paraId="46C61714">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方向二：药品临床综合评价研究</w:t>
      </w:r>
    </w:p>
    <w:p w14:paraId="3506F4A7">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依据《药政司关于印发〈2025年药品临床综合评价主题指引〉的通知》（国卫药政目录便函〔2025〕56号），我省已确定的13个2025年药品临床综合评价主题依程序纳入委医学科技项目。</w:t>
      </w:r>
    </w:p>
    <w:p w14:paraId="79F5E1EF">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（二）资助数量：软科学不定向项目每方向拟资助不超过1项；定向项目方向一资助12项，方向二资助13项。</w:t>
      </w:r>
    </w:p>
    <w:p w14:paraId="230E78EF">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（三）实施周期：2年。</w:t>
      </w:r>
    </w:p>
    <w:p w14:paraId="2D161547">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（四）经费保障：</w:t>
      </w:r>
      <w:r>
        <w:rPr>
          <w:rFonts w:hint="eastAsia" w:ascii="Times New Roman" w:hAnsi="Times New Roman" w:eastAsia="仿宋_GB2312" w:cs="Times New Roman"/>
          <w:color w:val="000000"/>
          <w:sz w:val="32"/>
          <w:szCs w:val="32"/>
          <w:highlight w:val="none"/>
          <w:shd w:val="clear" w:color="auto" w:fill="FFFFFF"/>
          <w:lang w:val="en-US" w:eastAsia="zh-CN"/>
        </w:rPr>
        <w:t>不定向</w:t>
      </w:r>
      <w:r>
        <w:rPr>
          <w:rFonts w:hint="default" w:ascii="Times New Roman" w:hAnsi="Times New Roman" w:eastAsia="仿宋_GB2312" w:cs="Times New Roman"/>
          <w:color w:val="000000"/>
          <w:sz w:val="32"/>
          <w:szCs w:val="32"/>
          <w:highlight w:val="none"/>
          <w:shd w:val="clear" w:color="auto" w:fill="FFFFFF"/>
          <w:lang w:val="en-US" w:eastAsia="zh-CN"/>
        </w:rPr>
        <w:t>项目牵头单位予以每项不低于5万元经费支持。</w:t>
      </w:r>
    </w:p>
    <w:p w14:paraId="2576DDE3">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（五）申报条件</w:t>
      </w:r>
    </w:p>
    <w:p w14:paraId="21475A7F">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1.申报单位要求：申报单位须为省内具有独立法人资格的三级甲等医院、省直属非医疗卫生机构、医学院校、科研院所等。</w:t>
      </w:r>
    </w:p>
    <w:p w14:paraId="5976D11F">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2.申报人要求：项目负责人须为申报单位在职在岗人员，具有中级及以上职称，年龄原则上不超过60周岁（1965年1月1日后出生）。</w:t>
      </w:r>
    </w:p>
    <w:p w14:paraId="21D1D33B">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3.鼓励联合申报，项目合作单位一般不少于3个（含牵头单位）。</w:t>
      </w:r>
    </w:p>
    <w:p w14:paraId="46679005">
      <w:pPr>
        <w:keepNext w:val="0"/>
        <w:keepLines w:val="0"/>
        <w:pageBreakBefore w:val="0"/>
        <w:widowControl w:val="0"/>
        <w:kinsoku/>
        <w:wordWrap/>
        <w:overflowPunct/>
        <w:topLinePunct w:val="0"/>
        <w:autoSpaceDE/>
        <w:autoSpaceDN/>
        <w:bidi w:val="0"/>
        <w:adjustRightInd w:val="0"/>
        <w:snapToGrid w:val="0"/>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sz w:val="32"/>
          <w:szCs w:val="32"/>
          <w:highlight w:val="none"/>
          <w:shd w:val="clear" w:color="auto" w:fill="FFFFFF"/>
          <w:lang w:val="en-US" w:eastAsia="zh-CN"/>
        </w:rPr>
      </w:pPr>
      <w:r>
        <w:rPr>
          <w:rFonts w:hint="default" w:ascii="Times New Roman" w:hAnsi="Times New Roman" w:eastAsia="仿宋_GB2312" w:cs="Times New Roman"/>
          <w:color w:val="000000"/>
          <w:sz w:val="32"/>
          <w:szCs w:val="32"/>
          <w:highlight w:val="none"/>
          <w:shd w:val="clear" w:color="auto" w:fill="FFFFFF"/>
          <w:lang w:val="en-US" w:eastAsia="zh-CN"/>
        </w:rPr>
        <w:t>4.软科学不定向项目每单位申报数量不超过3项。定向项目由定向委托单位直接申报。</w:t>
      </w:r>
    </w:p>
    <w:p w14:paraId="510D8C9B">
      <w:pPr>
        <w:pStyle w:val="7"/>
        <w:rPr>
          <w:rFonts w:hint="default" w:ascii="Times New Roman" w:hAnsi="Times New Roman" w:eastAsia="仿宋_GB2312" w:cs="Times New Roman"/>
          <w:color w:val="000000"/>
          <w:sz w:val="32"/>
          <w:szCs w:val="32"/>
          <w:highlight w:val="none"/>
          <w:shd w:val="clear" w:color="auto" w:fill="FFFFFF"/>
          <w:lang w:val="en-US" w:eastAsia="zh-CN"/>
        </w:rPr>
      </w:pPr>
    </w:p>
    <w:sectPr>
      <w:footerReference r:id="rId5" w:type="first"/>
      <w:footerReference r:id="rId3" w:type="default"/>
      <w:footerReference r:id="rId4" w:type="even"/>
      <w:pgSz w:w="11906" w:h="16838"/>
      <w:pgMar w:top="1440" w:right="1474" w:bottom="1440" w:left="1587" w:header="851" w:footer="1417" w:gutter="0"/>
      <w:pgNumType w:fmt="decimal"/>
      <w:cols w:space="720" w:num="1"/>
      <w:titlePg/>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decorative"/>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DC48785-A91E-42CD-BAF1-9264FC8365B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embedRegular r:id="rId2" w:fontKey="{EBF0440A-50E2-42B5-8E96-F90238909B6A}"/>
  </w:font>
  <w:font w:name="方正小标宋简体">
    <w:altName w:val="方正小标宋简体"/>
    <w:panose1 w:val="03000509000000000000"/>
    <w:charset w:val="86"/>
    <w:family w:val="auto"/>
    <w:pitch w:val="default"/>
    <w:sig w:usb0="00000001" w:usb1="080E0000" w:usb2="00000000" w:usb3="00000000" w:csb0="00040000" w:csb1="00000000"/>
    <w:embedRegular r:id="rId3" w:fontKey="{7FD2B4C0-4830-4031-92BE-2CC6093F6928}"/>
  </w:font>
  <w:font w:name="WPSEMBED1">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72C66">
    <w:pPr>
      <w:pStyle w:val="12"/>
      <w:keepNext w:val="0"/>
      <w:keepLines w:val="0"/>
      <w:pageBreakBefore w:val="0"/>
      <w:widowControl w:val="0"/>
      <w:kinsoku/>
      <w:wordWrap/>
      <w:overflowPunct/>
      <w:topLinePunct w:val="0"/>
      <w:autoSpaceDE/>
      <w:autoSpaceDN/>
      <w:bidi w:val="0"/>
      <w:adjustRightInd/>
      <w:snapToGrid w:val="0"/>
      <w:spacing w:line="240" w:lineRule="auto"/>
      <w:ind w:left="210" w:leftChars="100" w:right="210" w:rightChars="100" w:firstLine="0" w:firstLineChars="0"/>
      <w:jc w:val="right"/>
      <w:textAlignment w:val="auto"/>
      <w:outlineLvl w:val="9"/>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D1201D0">
                          <w:pPr>
                            <w:pStyle w:val="12"/>
                            <w:keepNext w:val="0"/>
                            <w:keepLines w:val="0"/>
                            <w:pageBreakBefore w:val="0"/>
                            <w:widowControl w:val="0"/>
                            <w:kinsoku/>
                            <w:wordWrap/>
                            <w:overflowPunct/>
                            <w:topLinePunct w:val="0"/>
                            <w:autoSpaceDE/>
                            <w:autoSpaceDN/>
                            <w:bidi w:val="0"/>
                            <w:adjustRightInd/>
                            <w:snapToGrid w:val="0"/>
                            <w:spacing w:line="240" w:lineRule="auto"/>
                            <w:ind w:left="210" w:leftChars="100" w:right="210" w:rightChars="100" w:firstLine="0" w:firstLineChars="0"/>
                            <w:jc w:val="right"/>
                            <w:textAlignment w:val="auto"/>
                            <w:outlineLvl w:val="9"/>
                          </w:pPr>
                          <w:r>
                            <w:rPr>
                              <w:rFonts w:hint="eastAsia" w:ascii="宋体" w:hAnsi="宋体"/>
                              <w:sz w:val="28"/>
                              <w:szCs w:val="28"/>
                            </w:rPr>
                            <w:t xml:space="preserve">— </w:t>
                          </w:r>
                          <w:r>
                            <w:rPr>
                              <w:rFonts w:ascii="宋体" w:hAnsi="宋体"/>
                              <w:sz w:val="28"/>
                              <w:szCs w:val="28"/>
                            </w:rPr>
                            <w:fldChar w:fldCharType="begin"/>
                          </w:r>
                          <w:r>
                            <w:rPr>
                              <w:rStyle w:val="21"/>
                              <w:rFonts w:ascii="宋体" w:hAnsi="宋体"/>
                              <w:sz w:val="28"/>
                              <w:szCs w:val="28"/>
                            </w:rPr>
                            <w:instrText xml:space="preserve"> PAGE </w:instrText>
                          </w:r>
                          <w:r>
                            <w:rPr>
                              <w:rFonts w:ascii="宋体" w:hAnsi="宋体"/>
                              <w:sz w:val="28"/>
                              <w:szCs w:val="28"/>
                            </w:rPr>
                            <w:fldChar w:fldCharType="separate"/>
                          </w:r>
                          <w:r>
                            <w:rPr>
                              <w:rStyle w:val="21"/>
                              <w:rFonts w:ascii="宋体" w:hAnsi="宋体"/>
                              <w:sz w:val="28"/>
                              <w:szCs w:val="28"/>
                            </w:rPr>
                            <w:t>2</w:t>
                          </w:r>
                          <w:r>
                            <w:rPr>
                              <w:rFonts w:ascii="宋体" w:hAnsi="宋体"/>
                              <w:sz w:val="28"/>
                              <w:szCs w:val="28"/>
                            </w:rPr>
                            <w:fldChar w:fldCharType="end"/>
                          </w:r>
                          <w:r>
                            <w:rPr>
                              <w:rStyle w:val="21"/>
                              <w:rFonts w:hint="eastAsia" w:ascii="宋体" w:hAnsi="宋体"/>
                              <w:sz w:val="28"/>
                              <w:szCs w:val="28"/>
                            </w:rPr>
                            <w:t xml:space="preserve"> </w:t>
                          </w:r>
                          <w:r>
                            <w:rPr>
                              <w:rFonts w:hint="eastAsia" w:ascii="宋体" w:hAnsi="宋体"/>
                              <w:sz w:val="28"/>
                              <w:szCs w:val="28"/>
                            </w:rPr>
                            <w:t>—</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14:paraId="4D1201D0">
                    <w:pPr>
                      <w:pStyle w:val="12"/>
                      <w:keepNext w:val="0"/>
                      <w:keepLines w:val="0"/>
                      <w:pageBreakBefore w:val="0"/>
                      <w:widowControl w:val="0"/>
                      <w:kinsoku/>
                      <w:wordWrap/>
                      <w:overflowPunct/>
                      <w:topLinePunct w:val="0"/>
                      <w:autoSpaceDE/>
                      <w:autoSpaceDN/>
                      <w:bidi w:val="0"/>
                      <w:adjustRightInd/>
                      <w:snapToGrid w:val="0"/>
                      <w:spacing w:line="240" w:lineRule="auto"/>
                      <w:ind w:left="210" w:leftChars="100" w:right="210" w:rightChars="100" w:firstLine="0" w:firstLineChars="0"/>
                      <w:jc w:val="right"/>
                      <w:textAlignment w:val="auto"/>
                      <w:outlineLvl w:val="9"/>
                    </w:pPr>
                    <w:r>
                      <w:rPr>
                        <w:rFonts w:hint="eastAsia" w:ascii="宋体" w:hAnsi="宋体"/>
                        <w:sz w:val="28"/>
                        <w:szCs w:val="28"/>
                      </w:rPr>
                      <w:t xml:space="preserve">— </w:t>
                    </w:r>
                    <w:r>
                      <w:rPr>
                        <w:rFonts w:ascii="宋体" w:hAnsi="宋体"/>
                        <w:sz w:val="28"/>
                        <w:szCs w:val="28"/>
                      </w:rPr>
                      <w:fldChar w:fldCharType="begin"/>
                    </w:r>
                    <w:r>
                      <w:rPr>
                        <w:rStyle w:val="21"/>
                        <w:rFonts w:ascii="宋体" w:hAnsi="宋体"/>
                        <w:sz w:val="28"/>
                        <w:szCs w:val="28"/>
                      </w:rPr>
                      <w:instrText xml:space="preserve"> PAGE </w:instrText>
                    </w:r>
                    <w:r>
                      <w:rPr>
                        <w:rFonts w:ascii="宋体" w:hAnsi="宋体"/>
                        <w:sz w:val="28"/>
                        <w:szCs w:val="28"/>
                      </w:rPr>
                      <w:fldChar w:fldCharType="separate"/>
                    </w:r>
                    <w:r>
                      <w:rPr>
                        <w:rStyle w:val="21"/>
                        <w:rFonts w:ascii="宋体" w:hAnsi="宋体"/>
                        <w:sz w:val="28"/>
                        <w:szCs w:val="28"/>
                      </w:rPr>
                      <w:t>2</w:t>
                    </w:r>
                    <w:r>
                      <w:rPr>
                        <w:rFonts w:ascii="宋体" w:hAnsi="宋体"/>
                        <w:sz w:val="28"/>
                        <w:szCs w:val="28"/>
                      </w:rPr>
                      <w:fldChar w:fldCharType="end"/>
                    </w:r>
                    <w:r>
                      <w:rPr>
                        <w:rStyle w:val="21"/>
                        <w:rFonts w:hint="eastAsia" w:ascii="宋体" w:hAnsi="宋体"/>
                        <w:sz w:val="28"/>
                        <w:szCs w:val="28"/>
                      </w:rPr>
                      <w:t xml:space="preserve"> </w:t>
                    </w:r>
                    <w:r>
                      <w:rPr>
                        <w:rFonts w:hint="eastAsia" w:ascii="宋体" w:hAnsi="宋体"/>
                        <w:sz w:val="28"/>
                        <w:szCs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CE247">
    <w:pPr>
      <w:pStyle w:val="12"/>
      <w:keepNext w:val="0"/>
      <w:keepLines w:val="0"/>
      <w:pageBreakBefore w:val="0"/>
      <w:widowControl w:val="0"/>
      <w:kinsoku/>
      <w:wordWrap/>
      <w:overflowPunct/>
      <w:topLinePunct w:val="0"/>
      <w:autoSpaceDE/>
      <w:autoSpaceDN/>
      <w:bidi w:val="0"/>
      <w:adjustRightInd/>
      <w:snapToGrid w:val="0"/>
      <w:spacing w:line="240" w:lineRule="auto"/>
      <w:ind w:left="210" w:leftChars="100" w:right="57" w:rightChars="0" w:firstLine="0" w:firstLineChars="0"/>
      <w:jc w:val="both"/>
      <w:textAlignment w:val="auto"/>
      <w:outlineLvl w:val="9"/>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1238367">
                          <w:pPr>
                            <w:pStyle w:val="12"/>
                            <w:keepNext w:val="0"/>
                            <w:keepLines w:val="0"/>
                            <w:pageBreakBefore w:val="0"/>
                            <w:widowControl w:val="0"/>
                            <w:kinsoku/>
                            <w:wordWrap/>
                            <w:overflowPunct/>
                            <w:topLinePunct w:val="0"/>
                            <w:autoSpaceDE/>
                            <w:autoSpaceDN/>
                            <w:bidi w:val="0"/>
                            <w:adjustRightInd/>
                            <w:snapToGrid w:val="0"/>
                            <w:spacing w:line="240" w:lineRule="auto"/>
                            <w:ind w:left="210" w:leftChars="100" w:right="57" w:rightChars="0" w:firstLine="0" w:firstLineChars="0"/>
                            <w:jc w:val="both"/>
                            <w:textAlignment w:val="auto"/>
                            <w:outlineLvl w:val="9"/>
                          </w:pPr>
                          <w:r>
                            <w:rPr>
                              <w:rFonts w:hint="eastAsia" w:ascii="宋体" w:hAnsi="宋体"/>
                              <w:sz w:val="28"/>
                              <w:szCs w:val="28"/>
                            </w:rPr>
                            <w:t xml:space="preserve">— </w:t>
                          </w:r>
                          <w:r>
                            <w:rPr>
                              <w:rFonts w:ascii="宋体" w:hAnsi="宋体"/>
                              <w:sz w:val="28"/>
                              <w:szCs w:val="28"/>
                            </w:rPr>
                            <w:fldChar w:fldCharType="begin"/>
                          </w:r>
                          <w:r>
                            <w:rPr>
                              <w:rStyle w:val="21"/>
                              <w:rFonts w:ascii="宋体" w:hAnsi="宋体"/>
                              <w:sz w:val="28"/>
                              <w:szCs w:val="28"/>
                            </w:rPr>
                            <w:instrText xml:space="preserve"> PAGE </w:instrText>
                          </w:r>
                          <w:r>
                            <w:rPr>
                              <w:rFonts w:ascii="宋体" w:hAnsi="宋体"/>
                              <w:sz w:val="28"/>
                              <w:szCs w:val="28"/>
                            </w:rPr>
                            <w:fldChar w:fldCharType="separate"/>
                          </w:r>
                          <w:r>
                            <w:rPr>
                              <w:rStyle w:val="21"/>
                              <w:rFonts w:ascii="宋体" w:hAnsi="宋体"/>
                              <w:sz w:val="28"/>
                              <w:szCs w:val="28"/>
                            </w:rPr>
                            <w:t>2</w:t>
                          </w:r>
                          <w:r>
                            <w:rPr>
                              <w:rFonts w:ascii="宋体" w:hAnsi="宋体"/>
                              <w:sz w:val="28"/>
                              <w:szCs w:val="28"/>
                            </w:rPr>
                            <w:fldChar w:fldCharType="end"/>
                          </w:r>
                          <w:r>
                            <w:rPr>
                              <w:rStyle w:val="21"/>
                              <w:rFonts w:hint="eastAsia" w:ascii="宋体" w:hAnsi="宋体"/>
                              <w:sz w:val="28"/>
                              <w:szCs w:val="28"/>
                            </w:rPr>
                            <w:t xml:space="preserve"> </w:t>
                          </w:r>
                          <w:r>
                            <w:rPr>
                              <w:rFonts w:hint="eastAsia" w:ascii="宋体" w:hAnsi="宋体"/>
                              <w:sz w:val="28"/>
                              <w:szCs w:val="28"/>
                            </w:rPr>
                            <w:t>—</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LMb65DdAQAAvgMAAA4AAAAAAAAA&#10;AQAgAAAAHgEAAGRycy9lMm9Eb2MueG1sUEsFBgAAAAAGAAYAWQEAAG0FAAAAAA==&#10;">
              <v:fill on="f" focussize="0,0"/>
              <v:stroke on="f"/>
              <v:imagedata o:title=""/>
              <o:lock v:ext="edit" aspectratio="f"/>
              <v:textbox inset="0mm,0mm,0mm,0mm" style="mso-fit-shape-to-text:t;">
                <w:txbxContent>
                  <w:p w14:paraId="51238367">
                    <w:pPr>
                      <w:pStyle w:val="12"/>
                      <w:keepNext w:val="0"/>
                      <w:keepLines w:val="0"/>
                      <w:pageBreakBefore w:val="0"/>
                      <w:widowControl w:val="0"/>
                      <w:kinsoku/>
                      <w:wordWrap/>
                      <w:overflowPunct/>
                      <w:topLinePunct w:val="0"/>
                      <w:autoSpaceDE/>
                      <w:autoSpaceDN/>
                      <w:bidi w:val="0"/>
                      <w:adjustRightInd/>
                      <w:snapToGrid w:val="0"/>
                      <w:spacing w:line="240" w:lineRule="auto"/>
                      <w:ind w:left="210" w:leftChars="100" w:right="57" w:rightChars="0" w:firstLine="0" w:firstLineChars="0"/>
                      <w:jc w:val="both"/>
                      <w:textAlignment w:val="auto"/>
                      <w:outlineLvl w:val="9"/>
                    </w:pPr>
                    <w:r>
                      <w:rPr>
                        <w:rFonts w:hint="eastAsia" w:ascii="宋体" w:hAnsi="宋体"/>
                        <w:sz w:val="28"/>
                        <w:szCs w:val="28"/>
                      </w:rPr>
                      <w:t xml:space="preserve">— </w:t>
                    </w:r>
                    <w:r>
                      <w:rPr>
                        <w:rFonts w:ascii="宋体" w:hAnsi="宋体"/>
                        <w:sz w:val="28"/>
                        <w:szCs w:val="28"/>
                      </w:rPr>
                      <w:fldChar w:fldCharType="begin"/>
                    </w:r>
                    <w:r>
                      <w:rPr>
                        <w:rStyle w:val="21"/>
                        <w:rFonts w:ascii="宋体" w:hAnsi="宋体"/>
                        <w:sz w:val="28"/>
                        <w:szCs w:val="28"/>
                      </w:rPr>
                      <w:instrText xml:space="preserve"> PAGE </w:instrText>
                    </w:r>
                    <w:r>
                      <w:rPr>
                        <w:rFonts w:ascii="宋体" w:hAnsi="宋体"/>
                        <w:sz w:val="28"/>
                        <w:szCs w:val="28"/>
                      </w:rPr>
                      <w:fldChar w:fldCharType="separate"/>
                    </w:r>
                    <w:r>
                      <w:rPr>
                        <w:rStyle w:val="21"/>
                        <w:rFonts w:ascii="宋体" w:hAnsi="宋体"/>
                        <w:sz w:val="28"/>
                        <w:szCs w:val="28"/>
                      </w:rPr>
                      <w:t>2</w:t>
                    </w:r>
                    <w:r>
                      <w:rPr>
                        <w:rFonts w:ascii="宋体" w:hAnsi="宋体"/>
                        <w:sz w:val="28"/>
                        <w:szCs w:val="28"/>
                      </w:rPr>
                      <w:fldChar w:fldCharType="end"/>
                    </w:r>
                    <w:r>
                      <w:rPr>
                        <w:rStyle w:val="21"/>
                        <w:rFonts w:hint="eastAsia" w:ascii="宋体" w:hAnsi="宋体"/>
                        <w:sz w:val="28"/>
                        <w:szCs w:val="28"/>
                      </w:rPr>
                      <w:t xml:space="preserve"> </w:t>
                    </w:r>
                    <w:r>
                      <w:rPr>
                        <w:rFonts w:hint="eastAsia" w:ascii="宋体" w:hAnsi="宋体"/>
                        <w:sz w:val="28"/>
                        <w:szCs w:val="28"/>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A5882">
    <w:pPr>
      <w:pStyle w:val="12"/>
      <w:keepNext w:val="0"/>
      <w:keepLines w:val="0"/>
      <w:pageBreakBefore w:val="0"/>
      <w:widowControl w:val="0"/>
      <w:kinsoku/>
      <w:wordWrap/>
      <w:overflowPunct/>
      <w:topLinePunct w:val="0"/>
      <w:autoSpaceDE/>
      <w:autoSpaceDN/>
      <w:bidi w:val="0"/>
      <w:adjustRightInd/>
      <w:snapToGrid w:val="0"/>
      <w:spacing w:line="240" w:lineRule="auto"/>
      <w:ind w:left="210" w:leftChars="100" w:right="210" w:rightChars="100" w:firstLine="0" w:firstLineChars="0"/>
      <w:jc w:val="left"/>
      <w:textAlignment w:val="auto"/>
      <w:outlineLvl w:val="9"/>
    </w:pPr>
    <w:r>
      <w:rPr>
        <w:rFonts w:hint="eastAsia" w:ascii="宋体" w:hAnsi="宋体"/>
        <w:sz w:val="28"/>
        <w:szCs w:val="28"/>
      </w:rPr>
      <w:t xml:space="preserve">— </w:t>
    </w:r>
    <w:r>
      <w:rPr>
        <w:rFonts w:ascii="宋体" w:hAnsi="宋体"/>
        <w:sz w:val="28"/>
        <w:szCs w:val="28"/>
      </w:rPr>
      <w:fldChar w:fldCharType="begin"/>
    </w:r>
    <w:r>
      <w:rPr>
        <w:rStyle w:val="21"/>
        <w:rFonts w:ascii="宋体" w:hAnsi="宋体"/>
        <w:sz w:val="28"/>
        <w:szCs w:val="28"/>
      </w:rPr>
      <w:instrText xml:space="preserve"> PAGE </w:instrText>
    </w:r>
    <w:r>
      <w:rPr>
        <w:rFonts w:ascii="宋体" w:hAnsi="宋体"/>
        <w:sz w:val="28"/>
        <w:szCs w:val="28"/>
      </w:rPr>
      <w:fldChar w:fldCharType="separate"/>
    </w:r>
    <w:r>
      <w:rPr>
        <w:rStyle w:val="21"/>
        <w:rFonts w:ascii="宋体" w:hAnsi="宋体"/>
        <w:sz w:val="28"/>
        <w:szCs w:val="28"/>
      </w:rPr>
      <w:t>2</w:t>
    </w:r>
    <w:r>
      <w:rPr>
        <w:rFonts w:ascii="宋体" w:hAnsi="宋体"/>
        <w:sz w:val="28"/>
        <w:szCs w:val="28"/>
      </w:rPr>
      <w:fldChar w:fldCharType="end"/>
    </w:r>
    <w:r>
      <w:rPr>
        <w:rStyle w:val="21"/>
        <w:rFonts w:hint="eastAsia" w:ascii="宋体" w:hAnsi="宋体"/>
        <w:sz w:val="28"/>
        <w:szCs w:val="28"/>
      </w:rPr>
      <w:t xml:space="preserve"> </w:t>
    </w:r>
    <w:r>
      <w:rPr>
        <w:rFonts w:hint="eastAsia" w:ascii="宋体" w:hAnsi="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2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05"/>
  <w:drawingGridVerticalSpacing w:val="164"/>
  <w:displayHorizontalDrawingGridEvery w:val="2"/>
  <w:displayVerticalDrawingGridEvery w:val="2"/>
  <w:noPunctuationKerning w:val="1"/>
  <w:characterSpacingControl w:val="compressPunctuation"/>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MzFmODcyM2M1OWUyMTY1M2MyNmVkMzc1OWM1ZGMifQ=="/>
  </w:docVars>
  <w:rsids>
    <w:rsidRoot w:val="00172A27"/>
    <w:rsid w:val="00012FB4"/>
    <w:rsid w:val="000213A5"/>
    <w:rsid w:val="0002710C"/>
    <w:rsid w:val="000423C2"/>
    <w:rsid w:val="00045EAA"/>
    <w:rsid w:val="00063209"/>
    <w:rsid w:val="00067C41"/>
    <w:rsid w:val="00083AA5"/>
    <w:rsid w:val="00091B10"/>
    <w:rsid w:val="000A6B19"/>
    <w:rsid w:val="000B4064"/>
    <w:rsid w:val="000B69D2"/>
    <w:rsid w:val="000B7E6A"/>
    <w:rsid w:val="000C7CCE"/>
    <w:rsid w:val="000F4BE3"/>
    <w:rsid w:val="00100229"/>
    <w:rsid w:val="001122C0"/>
    <w:rsid w:val="001126F0"/>
    <w:rsid w:val="00120088"/>
    <w:rsid w:val="001339F6"/>
    <w:rsid w:val="00147B0A"/>
    <w:rsid w:val="00154184"/>
    <w:rsid w:val="00161C09"/>
    <w:rsid w:val="00165DBC"/>
    <w:rsid w:val="00173B2A"/>
    <w:rsid w:val="00180FD3"/>
    <w:rsid w:val="0018149B"/>
    <w:rsid w:val="001823BA"/>
    <w:rsid w:val="00187346"/>
    <w:rsid w:val="00190297"/>
    <w:rsid w:val="001A7518"/>
    <w:rsid w:val="001B015E"/>
    <w:rsid w:val="001B3879"/>
    <w:rsid w:val="001B3CC4"/>
    <w:rsid w:val="001C0624"/>
    <w:rsid w:val="002121DE"/>
    <w:rsid w:val="00223737"/>
    <w:rsid w:val="00230B8E"/>
    <w:rsid w:val="00243A64"/>
    <w:rsid w:val="00252DC6"/>
    <w:rsid w:val="002746AE"/>
    <w:rsid w:val="00291C16"/>
    <w:rsid w:val="002B0AFF"/>
    <w:rsid w:val="002B1F7F"/>
    <w:rsid w:val="002B3D25"/>
    <w:rsid w:val="002B444E"/>
    <w:rsid w:val="002C67DA"/>
    <w:rsid w:val="0032732A"/>
    <w:rsid w:val="0033601C"/>
    <w:rsid w:val="0035062D"/>
    <w:rsid w:val="00370172"/>
    <w:rsid w:val="003701D3"/>
    <w:rsid w:val="00373846"/>
    <w:rsid w:val="00386714"/>
    <w:rsid w:val="0039775D"/>
    <w:rsid w:val="003A7651"/>
    <w:rsid w:val="003B19C2"/>
    <w:rsid w:val="003B4E0D"/>
    <w:rsid w:val="003D0899"/>
    <w:rsid w:val="003E7588"/>
    <w:rsid w:val="00406AA7"/>
    <w:rsid w:val="00426D69"/>
    <w:rsid w:val="00460E6B"/>
    <w:rsid w:val="00485A82"/>
    <w:rsid w:val="004B5753"/>
    <w:rsid w:val="004C0E98"/>
    <w:rsid w:val="004C6959"/>
    <w:rsid w:val="004D2AD7"/>
    <w:rsid w:val="00502622"/>
    <w:rsid w:val="00505569"/>
    <w:rsid w:val="0051058D"/>
    <w:rsid w:val="00512973"/>
    <w:rsid w:val="00514E19"/>
    <w:rsid w:val="005242A3"/>
    <w:rsid w:val="00545851"/>
    <w:rsid w:val="00545BE1"/>
    <w:rsid w:val="00546C3F"/>
    <w:rsid w:val="00552D86"/>
    <w:rsid w:val="0055366D"/>
    <w:rsid w:val="00560432"/>
    <w:rsid w:val="005645F1"/>
    <w:rsid w:val="005754A3"/>
    <w:rsid w:val="00580861"/>
    <w:rsid w:val="00596DBE"/>
    <w:rsid w:val="005A7A82"/>
    <w:rsid w:val="005B304C"/>
    <w:rsid w:val="005B330B"/>
    <w:rsid w:val="005C597C"/>
    <w:rsid w:val="005C7652"/>
    <w:rsid w:val="005E2E7C"/>
    <w:rsid w:val="005E35B9"/>
    <w:rsid w:val="005E7D68"/>
    <w:rsid w:val="005F5392"/>
    <w:rsid w:val="00632784"/>
    <w:rsid w:val="00642EAB"/>
    <w:rsid w:val="006440D8"/>
    <w:rsid w:val="006467DC"/>
    <w:rsid w:val="00651076"/>
    <w:rsid w:val="00653D5D"/>
    <w:rsid w:val="00673995"/>
    <w:rsid w:val="00683565"/>
    <w:rsid w:val="006D6DBB"/>
    <w:rsid w:val="006D7388"/>
    <w:rsid w:val="006E623F"/>
    <w:rsid w:val="006E7628"/>
    <w:rsid w:val="007067A4"/>
    <w:rsid w:val="0071283D"/>
    <w:rsid w:val="00721402"/>
    <w:rsid w:val="00734AF0"/>
    <w:rsid w:val="00737733"/>
    <w:rsid w:val="007422A1"/>
    <w:rsid w:val="00747016"/>
    <w:rsid w:val="007577E9"/>
    <w:rsid w:val="00760AA4"/>
    <w:rsid w:val="00776C69"/>
    <w:rsid w:val="007847E5"/>
    <w:rsid w:val="007A612B"/>
    <w:rsid w:val="007B1059"/>
    <w:rsid w:val="007B690E"/>
    <w:rsid w:val="007B79A7"/>
    <w:rsid w:val="007C2FB7"/>
    <w:rsid w:val="007D0F65"/>
    <w:rsid w:val="007E3FD2"/>
    <w:rsid w:val="007E6FC2"/>
    <w:rsid w:val="007F665F"/>
    <w:rsid w:val="008132D9"/>
    <w:rsid w:val="008364E7"/>
    <w:rsid w:val="008533AB"/>
    <w:rsid w:val="0087142E"/>
    <w:rsid w:val="00883169"/>
    <w:rsid w:val="00892221"/>
    <w:rsid w:val="00894E74"/>
    <w:rsid w:val="008B4885"/>
    <w:rsid w:val="008D5644"/>
    <w:rsid w:val="008E1FF6"/>
    <w:rsid w:val="008E784E"/>
    <w:rsid w:val="00913127"/>
    <w:rsid w:val="00922084"/>
    <w:rsid w:val="00932075"/>
    <w:rsid w:val="0093248A"/>
    <w:rsid w:val="00937E0C"/>
    <w:rsid w:val="009525D0"/>
    <w:rsid w:val="009569DB"/>
    <w:rsid w:val="00985C53"/>
    <w:rsid w:val="009A435A"/>
    <w:rsid w:val="009A6920"/>
    <w:rsid w:val="009A790E"/>
    <w:rsid w:val="009B0503"/>
    <w:rsid w:val="009D23F5"/>
    <w:rsid w:val="009E20C1"/>
    <w:rsid w:val="00A00CCC"/>
    <w:rsid w:val="00A30C39"/>
    <w:rsid w:val="00A3355E"/>
    <w:rsid w:val="00A34DB8"/>
    <w:rsid w:val="00A66E1D"/>
    <w:rsid w:val="00A72663"/>
    <w:rsid w:val="00AA03B5"/>
    <w:rsid w:val="00AA1332"/>
    <w:rsid w:val="00AA66DA"/>
    <w:rsid w:val="00AB3785"/>
    <w:rsid w:val="00AD0580"/>
    <w:rsid w:val="00AD2F08"/>
    <w:rsid w:val="00AD5A67"/>
    <w:rsid w:val="00AD616D"/>
    <w:rsid w:val="00AF0E0B"/>
    <w:rsid w:val="00AF6E27"/>
    <w:rsid w:val="00B35795"/>
    <w:rsid w:val="00B45D4C"/>
    <w:rsid w:val="00B5055D"/>
    <w:rsid w:val="00B5733F"/>
    <w:rsid w:val="00B67A91"/>
    <w:rsid w:val="00B74A11"/>
    <w:rsid w:val="00BC01EB"/>
    <w:rsid w:val="00BD3F53"/>
    <w:rsid w:val="00BE0CA2"/>
    <w:rsid w:val="00BF7A53"/>
    <w:rsid w:val="00C10417"/>
    <w:rsid w:val="00C158D6"/>
    <w:rsid w:val="00C176F4"/>
    <w:rsid w:val="00C252E8"/>
    <w:rsid w:val="00C470E3"/>
    <w:rsid w:val="00C501FD"/>
    <w:rsid w:val="00C709CB"/>
    <w:rsid w:val="00C7188A"/>
    <w:rsid w:val="00C81FBD"/>
    <w:rsid w:val="00C859A6"/>
    <w:rsid w:val="00CA5682"/>
    <w:rsid w:val="00CB1362"/>
    <w:rsid w:val="00CB480F"/>
    <w:rsid w:val="00CC76ED"/>
    <w:rsid w:val="00CD5555"/>
    <w:rsid w:val="00CE0B4B"/>
    <w:rsid w:val="00D45469"/>
    <w:rsid w:val="00D45A6C"/>
    <w:rsid w:val="00D45BAF"/>
    <w:rsid w:val="00D45F73"/>
    <w:rsid w:val="00D508FB"/>
    <w:rsid w:val="00D63375"/>
    <w:rsid w:val="00D72D18"/>
    <w:rsid w:val="00D73B0A"/>
    <w:rsid w:val="00D74223"/>
    <w:rsid w:val="00D940AB"/>
    <w:rsid w:val="00D949EC"/>
    <w:rsid w:val="00DA60AC"/>
    <w:rsid w:val="00DD1DCF"/>
    <w:rsid w:val="00DD269C"/>
    <w:rsid w:val="00DD4F77"/>
    <w:rsid w:val="00DE7B8F"/>
    <w:rsid w:val="00DF397E"/>
    <w:rsid w:val="00DF7FA8"/>
    <w:rsid w:val="00E02EDF"/>
    <w:rsid w:val="00E0743D"/>
    <w:rsid w:val="00E11769"/>
    <w:rsid w:val="00E12832"/>
    <w:rsid w:val="00E171D1"/>
    <w:rsid w:val="00E203FB"/>
    <w:rsid w:val="00E33BDB"/>
    <w:rsid w:val="00E617B8"/>
    <w:rsid w:val="00E75187"/>
    <w:rsid w:val="00E8509C"/>
    <w:rsid w:val="00E86E2E"/>
    <w:rsid w:val="00EB7946"/>
    <w:rsid w:val="00ED1FC7"/>
    <w:rsid w:val="00EE04B4"/>
    <w:rsid w:val="00EE0759"/>
    <w:rsid w:val="00EF045B"/>
    <w:rsid w:val="00EF04B6"/>
    <w:rsid w:val="00EF04E5"/>
    <w:rsid w:val="00F201FF"/>
    <w:rsid w:val="00F22BF5"/>
    <w:rsid w:val="00F22E21"/>
    <w:rsid w:val="00F31BA1"/>
    <w:rsid w:val="00F35A9B"/>
    <w:rsid w:val="00F53691"/>
    <w:rsid w:val="00F716B7"/>
    <w:rsid w:val="00FC2134"/>
    <w:rsid w:val="00FD43E5"/>
    <w:rsid w:val="012A0A48"/>
    <w:rsid w:val="01303AC5"/>
    <w:rsid w:val="014E3259"/>
    <w:rsid w:val="027B3131"/>
    <w:rsid w:val="030A6CC4"/>
    <w:rsid w:val="0337738D"/>
    <w:rsid w:val="034B2EDE"/>
    <w:rsid w:val="03AF786B"/>
    <w:rsid w:val="03B34B5F"/>
    <w:rsid w:val="03BE4EB1"/>
    <w:rsid w:val="03E5328D"/>
    <w:rsid w:val="03F642AC"/>
    <w:rsid w:val="03FD3D03"/>
    <w:rsid w:val="03FE304D"/>
    <w:rsid w:val="04E34020"/>
    <w:rsid w:val="04F0267B"/>
    <w:rsid w:val="051F74D0"/>
    <w:rsid w:val="05387801"/>
    <w:rsid w:val="05D11A97"/>
    <w:rsid w:val="05ED62E1"/>
    <w:rsid w:val="067A44AE"/>
    <w:rsid w:val="06E75978"/>
    <w:rsid w:val="06EB2C26"/>
    <w:rsid w:val="06FC18B5"/>
    <w:rsid w:val="072A2FCD"/>
    <w:rsid w:val="07471438"/>
    <w:rsid w:val="07492069"/>
    <w:rsid w:val="074F100F"/>
    <w:rsid w:val="07B471FE"/>
    <w:rsid w:val="08387E2F"/>
    <w:rsid w:val="085065AF"/>
    <w:rsid w:val="087B22F9"/>
    <w:rsid w:val="08B93549"/>
    <w:rsid w:val="08BF46E8"/>
    <w:rsid w:val="08C344C4"/>
    <w:rsid w:val="08F30E06"/>
    <w:rsid w:val="091832E2"/>
    <w:rsid w:val="093B7FE1"/>
    <w:rsid w:val="09554A11"/>
    <w:rsid w:val="09864A43"/>
    <w:rsid w:val="0992531D"/>
    <w:rsid w:val="09A16748"/>
    <w:rsid w:val="09D516AE"/>
    <w:rsid w:val="0A19431E"/>
    <w:rsid w:val="0A1F34B1"/>
    <w:rsid w:val="0AB43BD9"/>
    <w:rsid w:val="0ACE4EE9"/>
    <w:rsid w:val="0AD5123D"/>
    <w:rsid w:val="0AE90902"/>
    <w:rsid w:val="0B0B0AE7"/>
    <w:rsid w:val="0B4A3AFC"/>
    <w:rsid w:val="0B7B5BE5"/>
    <w:rsid w:val="0BAD13C8"/>
    <w:rsid w:val="0BDE0CED"/>
    <w:rsid w:val="0C1C214B"/>
    <w:rsid w:val="0C7C5E14"/>
    <w:rsid w:val="0CF73D0D"/>
    <w:rsid w:val="0D7E633D"/>
    <w:rsid w:val="0DEB7AFB"/>
    <w:rsid w:val="0DED6704"/>
    <w:rsid w:val="0EC266A4"/>
    <w:rsid w:val="0EFFA175"/>
    <w:rsid w:val="0F2F1860"/>
    <w:rsid w:val="0FBA381F"/>
    <w:rsid w:val="0FD84576"/>
    <w:rsid w:val="10615546"/>
    <w:rsid w:val="10785C27"/>
    <w:rsid w:val="108F25B6"/>
    <w:rsid w:val="10947BCD"/>
    <w:rsid w:val="10EC35BB"/>
    <w:rsid w:val="110E070B"/>
    <w:rsid w:val="11365128"/>
    <w:rsid w:val="1149025F"/>
    <w:rsid w:val="121A571D"/>
    <w:rsid w:val="12345655"/>
    <w:rsid w:val="12BC6B7A"/>
    <w:rsid w:val="12CB5AA2"/>
    <w:rsid w:val="12EE6356"/>
    <w:rsid w:val="12F62DC0"/>
    <w:rsid w:val="13082AF4"/>
    <w:rsid w:val="13211FA6"/>
    <w:rsid w:val="132816A6"/>
    <w:rsid w:val="13856F1F"/>
    <w:rsid w:val="13BD4B7D"/>
    <w:rsid w:val="13FF0729"/>
    <w:rsid w:val="14200315"/>
    <w:rsid w:val="14316CAE"/>
    <w:rsid w:val="14795A57"/>
    <w:rsid w:val="14DA401C"/>
    <w:rsid w:val="15064E11"/>
    <w:rsid w:val="15462889"/>
    <w:rsid w:val="156D02D7"/>
    <w:rsid w:val="15967563"/>
    <w:rsid w:val="15B43A74"/>
    <w:rsid w:val="15E51D47"/>
    <w:rsid w:val="16181BB5"/>
    <w:rsid w:val="163530AE"/>
    <w:rsid w:val="164E6A70"/>
    <w:rsid w:val="16500A3A"/>
    <w:rsid w:val="167C538B"/>
    <w:rsid w:val="168B23C8"/>
    <w:rsid w:val="169E0F22"/>
    <w:rsid w:val="16E2023C"/>
    <w:rsid w:val="16F56A81"/>
    <w:rsid w:val="170137C7"/>
    <w:rsid w:val="17CE4E7E"/>
    <w:rsid w:val="17E051FD"/>
    <w:rsid w:val="18273A1C"/>
    <w:rsid w:val="18510A99"/>
    <w:rsid w:val="18AA535C"/>
    <w:rsid w:val="18BA2725"/>
    <w:rsid w:val="18BF61A1"/>
    <w:rsid w:val="192F7628"/>
    <w:rsid w:val="1990114D"/>
    <w:rsid w:val="19D23431"/>
    <w:rsid w:val="19D563E8"/>
    <w:rsid w:val="1A2D6D41"/>
    <w:rsid w:val="1A671CF6"/>
    <w:rsid w:val="1B6C621D"/>
    <w:rsid w:val="1C6963B1"/>
    <w:rsid w:val="1C850D11"/>
    <w:rsid w:val="1C93375D"/>
    <w:rsid w:val="1CAA0308"/>
    <w:rsid w:val="1D5E5D5A"/>
    <w:rsid w:val="1D985D1B"/>
    <w:rsid w:val="1DA170FE"/>
    <w:rsid w:val="1DAA52F5"/>
    <w:rsid w:val="1E285DF8"/>
    <w:rsid w:val="1E761259"/>
    <w:rsid w:val="1EB92A9A"/>
    <w:rsid w:val="1EF05BCD"/>
    <w:rsid w:val="1F0818AA"/>
    <w:rsid w:val="1F3300CA"/>
    <w:rsid w:val="1F4924CA"/>
    <w:rsid w:val="1F4B6242"/>
    <w:rsid w:val="1F4E1694"/>
    <w:rsid w:val="1F82026C"/>
    <w:rsid w:val="200F54C2"/>
    <w:rsid w:val="20405B5A"/>
    <w:rsid w:val="20416064"/>
    <w:rsid w:val="205E6A5E"/>
    <w:rsid w:val="2104686E"/>
    <w:rsid w:val="21086BBE"/>
    <w:rsid w:val="211803A6"/>
    <w:rsid w:val="21A8797C"/>
    <w:rsid w:val="21CB5254"/>
    <w:rsid w:val="21EB37C0"/>
    <w:rsid w:val="221E37F7"/>
    <w:rsid w:val="223B704C"/>
    <w:rsid w:val="22525B39"/>
    <w:rsid w:val="22967490"/>
    <w:rsid w:val="22CD3B90"/>
    <w:rsid w:val="230B7E95"/>
    <w:rsid w:val="233D5A13"/>
    <w:rsid w:val="235F7368"/>
    <w:rsid w:val="23DC292F"/>
    <w:rsid w:val="245142FB"/>
    <w:rsid w:val="247C3EAB"/>
    <w:rsid w:val="24C0425F"/>
    <w:rsid w:val="24DF4D8F"/>
    <w:rsid w:val="25231488"/>
    <w:rsid w:val="25495A17"/>
    <w:rsid w:val="25A406FA"/>
    <w:rsid w:val="25BF3A3C"/>
    <w:rsid w:val="25EC4F56"/>
    <w:rsid w:val="26025181"/>
    <w:rsid w:val="26086C3B"/>
    <w:rsid w:val="260E3DA6"/>
    <w:rsid w:val="264921EA"/>
    <w:rsid w:val="26962499"/>
    <w:rsid w:val="26B25AF7"/>
    <w:rsid w:val="26B511B7"/>
    <w:rsid w:val="270D3551"/>
    <w:rsid w:val="272A747E"/>
    <w:rsid w:val="27682A79"/>
    <w:rsid w:val="2768797E"/>
    <w:rsid w:val="27E6AACE"/>
    <w:rsid w:val="283B5035"/>
    <w:rsid w:val="286D7525"/>
    <w:rsid w:val="28CC03F4"/>
    <w:rsid w:val="28DB23E5"/>
    <w:rsid w:val="28EA087A"/>
    <w:rsid w:val="294361DC"/>
    <w:rsid w:val="29824F56"/>
    <w:rsid w:val="29A22DDE"/>
    <w:rsid w:val="2AA61387"/>
    <w:rsid w:val="2ABE364B"/>
    <w:rsid w:val="2B00195E"/>
    <w:rsid w:val="2B40570A"/>
    <w:rsid w:val="2BD74AD9"/>
    <w:rsid w:val="2BFC2739"/>
    <w:rsid w:val="2BFE187B"/>
    <w:rsid w:val="2CAA7450"/>
    <w:rsid w:val="2D1660E1"/>
    <w:rsid w:val="2D2109AE"/>
    <w:rsid w:val="2E1B7622"/>
    <w:rsid w:val="2E2E1209"/>
    <w:rsid w:val="2E3A195C"/>
    <w:rsid w:val="2E7F09A4"/>
    <w:rsid w:val="2F4B5AA0"/>
    <w:rsid w:val="2F55CA8D"/>
    <w:rsid w:val="2F7F4058"/>
    <w:rsid w:val="2F917B1A"/>
    <w:rsid w:val="2F9257C7"/>
    <w:rsid w:val="2FD61B58"/>
    <w:rsid w:val="2FEE6EA1"/>
    <w:rsid w:val="2FFBAA47"/>
    <w:rsid w:val="30DD1716"/>
    <w:rsid w:val="3106655C"/>
    <w:rsid w:val="31AE7E80"/>
    <w:rsid w:val="31C357FD"/>
    <w:rsid w:val="3207424B"/>
    <w:rsid w:val="330518FF"/>
    <w:rsid w:val="337B4EF0"/>
    <w:rsid w:val="3391237C"/>
    <w:rsid w:val="33EA6088"/>
    <w:rsid w:val="34296156"/>
    <w:rsid w:val="34515C51"/>
    <w:rsid w:val="347A0D73"/>
    <w:rsid w:val="34A4155C"/>
    <w:rsid w:val="35022F6F"/>
    <w:rsid w:val="351D0070"/>
    <w:rsid w:val="35647C2F"/>
    <w:rsid w:val="35A3031A"/>
    <w:rsid w:val="35B118BB"/>
    <w:rsid w:val="37447CF7"/>
    <w:rsid w:val="37FE18E7"/>
    <w:rsid w:val="38187A9D"/>
    <w:rsid w:val="381E3CFF"/>
    <w:rsid w:val="383C1624"/>
    <w:rsid w:val="385C6105"/>
    <w:rsid w:val="38A62194"/>
    <w:rsid w:val="38DB3D3B"/>
    <w:rsid w:val="3907662A"/>
    <w:rsid w:val="392E030F"/>
    <w:rsid w:val="394E7FE0"/>
    <w:rsid w:val="396B5B88"/>
    <w:rsid w:val="398919E9"/>
    <w:rsid w:val="398C7F31"/>
    <w:rsid w:val="39ED1F78"/>
    <w:rsid w:val="3A8D5509"/>
    <w:rsid w:val="3AA31A82"/>
    <w:rsid w:val="3ABB6B14"/>
    <w:rsid w:val="3ABD388E"/>
    <w:rsid w:val="3AFD61EB"/>
    <w:rsid w:val="3B2D59A6"/>
    <w:rsid w:val="3B7566C9"/>
    <w:rsid w:val="3BEF76E5"/>
    <w:rsid w:val="3C0719D1"/>
    <w:rsid w:val="3C1D4D9A"/>
    <w:rsid w:val="3C292256"/>
    <w:rsid w:val="3C7B46F5"/>
    <w:rsid w:val="3C85293C"/>
    <w:rsid w:val="3C88690A"/>
    <w:rsid w:val="3CA931BB"/>
    <w:rsid w:val="3CAB1C76"/>
    <w:rsid w:val="3D97091B"/>
    <w:rsid w:val="3DD87A7D"/>
    <w:rsid w:val="3DE25B6C"/>
    <w:rsid w:val="3E317E77"/>
    <w:rsid w:val="3E3F4C6F"/>
    <w:rsid w:val="3EB5559E"/>
    <w:rsid w:val="3EFBE586"/>
    <w:rsid w:val="3EFC3CDD"/>
    <w:rsid w:val="3EFE1C78"/>
    <w:rsid w:val="3EFF97E8"/>
    <w:rsid w:val="3F434089"/>
    <w:rsid w:val="3F464263"/>
    <w:rsid w:val="3F535877"/>
    <w:rsid w:val="3FDA69A5"/>
    <w:rsid w:val="3FE23C01"/>
    <w:rsid w:val="3FF5743A"/>
    <w:rsid w:val="3FFF1F5B"/>
    <w:rsid w:val="405E24A3"/>
    <w:rsid w:val="4061546E"/>
    <w:rsid w:val="40681F90"/>
    <w:rsid w:val="408C2235"/>
    <w:rsid w:val="40AA0BC3"/>
    <w:rsid w:val="40F11A4A"/>
    <w:rsid w:val="40FD4EF7"/>
    <w:rsid w:val="411274C9"/>
    <w:rsid w:val="41523008"/>
    <w:rsid w:val="42075BA1"/>
    <w:rsid w:val="420B38E3"/>
    <w:rsid w:val="421E6E6E"/>
    <w:rsid w:val="42470693"/>
    <w:rsid w:val="42C05AB7"/>
    <w:rsid w:val="43043580"/>
    <w:rsid w:val="433B3C97"/>
    <w:rsid w:val="434A3CF5"/>
    <w:rsid w:val="43B50D11"/>
    <w:rsid w:val="43C80CCE"/>
    <w:rsid w:val="446F27D2"/>
    <w:rsid w:val="44A40406"/>
    <w:rsid w:val="44AB2ACE"/>
    <w:rsid w:val="44AF666B"/>
    <w:rsid w:val="44B03F98"/>
    <w:rsid w:val="44B55D88"/>
    <w:rsid w:val="4524290B"/>
    <w:rsid w:val="45561525"/>
    <w:rsid w:val="45CE5353"/>
    <w:rsid w:val="45FA2BD1"/>
    <w:rsid w:val="46456C25"/>
    <w:rsid w:val="467B5D75"/>
    <w:rsid w:val="46C202E8"/>
    <w:rsid w:val="473A06A8"/>
    <w:rsid w:val="473E2DDF"/>
    <w:rsid w:val="47593BBC"/>
    <w:rsid w:val="476420D6"/>
    <w:rsid w:val="477B5067"/>
    <w:rsid w:val="48243441"/>
    <w:rsid w:val="482B3AF2"/>
    <w:rsid w:val="487B4BF3"/>
    <w:rsid w:val="48851942"/>
    <w:rsid w:val="48DF5271"/>
    <w:rsid w:val="49AB59AC"/>
    <w:rsid w:val="49C351AB"/>
    <w:rsid w:val="4A2B51AC"/>
    <w:rsid w:val="4A686320"/>
    <w:rsid w:val="4AA541A9"/>
    <w:rsid w:val="4AAB534C"/>
    <w:rsid w:val="4B4522B6"/>
    <w:rsid w:val="4B716E3C"/>
    <w:rsid w:val="4B9912CE"/>
    <w:rsid w:val="4BA44460"/>
    <w:rsid w:val="4BD6749F"/>
    <w:rsid w:val="4CB37CAB"/>
    <w:rsid w:val="4CE23D45"/>
    <w:rsid w:val="4D423F31"/>
    <w:rsid w:val="4D6A2C5E"/>
    <w:rsid w:val="4DA94D5D"/>
    <w:rsid w:val="4DBA141E"/>
    <w:rsid w:val="4E0C66F1"/>
    <w:rsid w:val="4E232653"/>
    <w:rsid w:val="4E791273"/>
    <w:rsid w:val="4E964511"/>
    <w:rsid w:val="4EA50C1B"/>
    <w:rsid w:val="4FE33905"/>
    <w:rsid w:val="4FF9121F"/>
    <w:rsid w:val="50281B04"/>
    <w:rsid w:val="502B7796"/>
    <w:rsid w:val="50386906"/>
    <w:rsid w:val="506E75B2"/>
    <w:rsid w:val="5095174E"/>
    <w:rsid w:val="51087240"/>
    <w:rsid w:val="5143023F"/>
    <w:rsid w:val="51587005"/>
    <w:rsid w:val="519311FF"/>
    <w:rsid w:val="51B64EEE"/>
    <w:rsid w:val="51D00398"/>
    <w:rsid w:val="52173BDE"/>
    <w:rsid w:val="521D4C09"/>
    <w:rsid w:val="521E33E7"/>
    <w:rsid w:val="531F5793"/>
    <w:rsid w:val="53C24520"/>
    <w:rsid w:val="53D77AC9"/>
    <w:rsid w:val="54837309"/>
    <w:rsid w:val="548F5079"/>
    <w:rsid w:val="54977258"/>
    <w:rsid w:val="54B05CFF"/>
    <w:rsid w:val="54B41F37"/>
    <w:rsid w:val="54D933CD"/>
    <w:rsid w:val="554967A4"/>
    <w:rsid w:val="55900D3A"/>
    <w:rsid w:val="55A35789"/>
    <w:rsid w:val="55EB0E0A"/>
    <w:rsid w:val="5629185A"/>
    <w:rsid w:val="56312F39"/>
    <w:rsid w:val="5639454B"/>
    <w:rsid w:val="56620C21"/>
    <w:rsid w:val="56BA722E"/>
    <w:rsid w:val="577B4242"/>
    <w:rsid w:val="57DC5D44"/>
    <w:rsid w:val="580A525D"/>
    <w:rsid w:val="586554A8"/>
    <w:rsid w:val="58B66F0F"/>
    <w:rsid w:val="58C23370"/>
    <w:rsid w:val="58D148B2"/>
    <w:rsid w:val="58E84C39"/>
    <w:rsid w:val="58F434FD"/>
    <w:rsid w:val="59945B14"/>
    <w:rsid w:val="59ED5CA4"/>
    <w:rsid w:val="59F36CDF"/>
    <w:rsid w:val="5A383D29"/>
    <w:rsid w:val="5A821E11"/>
    <w:rsid w:val="5A8B33BB"/>
    <w:rsid w:val="5AA004E9"/>
    <w:rsid w:val="5B044F1C"/>
    <w:rsid w:val="5B7F6950"/>
    <w:rsid w:val="5B872893"/>
    <w:rsid w:val="5BA4485D"/>
    <w:rsid w:val="5BCB01A2"/>
    <w:rsid w:val="5BE45558"/>
    <w:rsid w:val="5BFB00CD"/>
    <w:rsid w:val="5C341831"/>
    <w:rsid w:val="5C3B799A"/>
    <w:rsid w:val="5C5C4ADB"/>
    <w:rsid w:val="5CF1327E"/>
    <w:rsid w:val="5D202D9B"/>
    <w:rsid w:val="5D2A6606"/>
    <w:rsid w:val="5D2B50C5"/>
    <w:rsid w:val="5D467625"/>
    <w:rsid w:val="5D5FE974"/>
    <w:rsid w:val="5DAA4A76"/>
    <w:rsid w:val="5DCB5DAA"/>
    <w:rsid w:val="5DDF0597"/>
    <w:rsid w:val="5DED1A2C"/>
    <w:rsid w:val="5DFBFC74"/>
    <w:rsid w:val="5EA32D6C"/>
    <w:rsid w:val="5EC23124"/>
    <w:rsid w:val="5ED947D7"/>
    <w:rsid w:val="5F4051AA"/>
    <w:rsid w:val="5FDF6FD3"/>
    <w:rsid w:val="5FEB66AA"/>
    <w:rsid w:val="5FFD5FF2"/>
    <w:rsid w:val="602045A6"/>
    <w:rsid w:val="602D0182"/>
    <w:rsid w:val="60455DBA"/>
    <w:rsid w:val="60BE0C97"/>
    <w:rsid w:val="60E57174"/>
    <w:rsid w:val="618E7588"/>
    <w:rsid w:val="61E92DC0"/>
    <w:rsid w:val="6217620C"/>
    <w:rsid w:val="624F0FBB"/>
    <w:rsid w:val="62BF411A"/>
    <w:rsid w:val="62CF04CB"/>
    <w:rsid w:val="645B70E6"/>
    <w:rsid w:val="649A1656"/>
    <w:rsid w:val="64CC6AAA"/>
    <w:rsid w:val="64DD6316"/>
    <w:rsid w:val="6508246E"/>
    <w:rsid w:val="650C334B"/>
    <w:rsid w:val="65240694"/>
    <w:rsid w:val="65580283"/>
    <w:rsid w:val="656C3A21"/>
    <w:rsid w:val="661466BD"/>
    <w:rsid w:val="666A0329"/>
    <w:rsid w:val="66942E0F"/>
    <w:rsid w:val="66F30BCE"/>
    <w:rsid w:val="67915BF6"/>
    <w:rsid w:val="67AB098A"/>
    <w:rsid w:val="67BF25C5"/>
    <w:rsid w:val="689E69AF"/>
    <w:rsid w:val="68F13BC1"/>
    <w:rsid w:val="68F97A1B"/>
    <w:rsid w:val="69252C2D"/>
    <w:rsid w:val="696C085C"/>
    <w:rsid w:val="698B53BD"/>
    <w:rsid w:val="6A236540"/>
    <w:rsid w:val="6A472C78"/>
    <w:rsid w:val="6A6E0C8A"/>
    <w:rsid w:val="6B054AC4"/>
    <w:rsid w:val="6B2F0658"/>
    <w:rsid w:val="6B667AB4"/>
    <w:rsid w:val="6B993992"/>
    <w:rsid w:val="6BB8C5D9"/>
    <w:rsid w:val="6BE077CC"/>
    <w:rsid w:val="6C326C8D"/>
    <w:rsid w:val="6C740137"/>
    <w:rsid w:val="6C7464C0"/>
    <w:rsid w:val="6C755691"/>
    <w:rsid w:val="6CC36AD3"/>
    <w:rsid w:val="6D17288C"/>
    <w:rsid w:val="6D4D90C9"/>
    <w:rsid w:val="6D6D3F33"/>
    <w:rsid w:val="6E0343AA"/>
    <w:rsid w:val="6E034B2E"/>
    <w:rsid w:val="6E331948"/>
    <w:rsid w:val="6EB74327"/>
    <w:rsid w:val="6F176B74"/>
    <w:rsid w:val="6F4F0156"/>
    <w:rsid w:val="6F9603E0"/>
    <w:rsid w:val="6FA53D65"/>
    <w:rsid w:val="6FB62831"/>
    <w:rsid w:val="6FFE79C9"/>
    <w:rsid w:val="6FFF59B1"/>
    <w:rsid w:val="702F681D"/>
    <w:rsid w:val="7040034C"/>
    <w:rsid w:val="704240C4"/>
    <w:rsid w:val="706109EE"/>
    <w:rsid w:val="711C4FEF"/>
    <w:rsid w:val="71686111"/>
    <w:rsid w:val="71A448BF"/>
    <w:rsid w:val="71C51CDC"/>
    <w:rsid w:val="727950DD"/>
    <w:rsid w:val="72872262"/>
    <w:rsid w:val="72E94CCB"/>
    <w:rsid w:val="730B2E93"/>
    <w:rsid w:val="735133ED"/>
    <w:rsid w:val="74934EEE"/>
    <w:rsid w:val="7497377A"/>
    <w:rsid w:val="74BF502B"/>
    <w:rsid w:val="74D918BA"/>
    <w:rsid w:val="75061B64"/>
    <w:rsid w:val="750C24E0"/>
    <w:rsid w:val="75784237"/>
    <w:rsid w:val="76A549B9"/>
    <w:rsid w:val="76EA6BA6"/>
    <w:rsid w:val="76EE465E"/>
    <w:rsid w:val="770F2990"/>
    <w:rsid w:val="771B0A74"/>
    <w:rsid w:val="77200278"/>
    <w:rsid w:val="7762637D"/>
    <w:rsid w:val="778A372C"/>
    <w:rsid w:val="779F004E"/>
    <w:rsid w:val="77A8028C"/>
    <w:rsid w:val="77C0579D"/>
    <w:rsid w:val="77FE165C"/>
    <w:rsid w:val="77FFB9B7"/>
    <w:rsid w:val="785B1534"/>
    <w:rsid w:val="785E0D89"/>
    <w:rsid w:val="78994A9D"/>
    <w:rsid w:val="78F817C4"/>
    <w:rsid w:val="796F176C"/>
    <w:rsid w:val="79834854"/>
    <w:rsid w:val="798412AA"/>
    <w:rsid w:val="798D6D9D"/>
    <w:rsid w:val="7A087DAB"/>
    <w:rsid w:val="7A2F07BD"/>
    <w:rsid w:val="7ABD1822"/>
    <w:rsid w:val="7AFD5981"/>
    <w:rsid w:val="7B5F5B2A"/>
    <w:rsid w:val="7B986BA7"/>
    <w:rsid w:val="7BD511C8"/>
    <w:rsid w:val="7C760BCF"/>
    <w:rsid w:val="7C8F7F9E"/>
    <w:rsid w:val="7CF00A3F"/>
    <w:rsid w:val="7D0D6BBC"/>
    <w:rsid w:val="7D0FF247"/>
    <w:rsid w:val="7D755122"/>
    <w:rsid w:val="7D984A01"/>
    <w:rsid w:val="7DDFEB67"/>
    <w:rsid w:val="7E55585A"/>
    <w:rsid w:val="7E8EA594"/>
    <w:rsid w:val="7EB83991"/>
    <w:rsid w:val="7ED872C7"/>
    <w:rsid w:val="7EED3861"/>
    <w:rsid w:val="7F0C7C8C"/>
    <w:rsid w:val="7F2B6E69"/>
    <w:rsid w:val="7F6D15D3"/>
    <w:rsid w:val="7F6DC987"/>
    <w:rsid w:val="7F796F4B"/>
    <w:rsid w:val="7F7EB5FB"/>
    <w:rsid w:val="7F963AE5"/>
    <w:rsid w:val="7FC75DE0"/>
    <w:rsid w:val="7FDE0CFA"/>
    <w:rsid w:val="7FEEE270"/>
    <w:rsid w:val="7FF7CD52"/>
    <w:rsid w:val="7FFF3F0F"/>
    <w:rsid w:val="7FFFB68A"/>
    <w:rsid w:val="8F95124F"/>
    <w:rsid w:val="977F7C3A"/>
    <w:rsid w:val="99FC8741"/>
    <w:rsid w:val="A3B3D22B"/>
    <w:rsid w:val="A6D5251D"/>
    <w:rsid w:val="AB7F6D04"/>
    <w:rsid w:val="B37E447E"/>
    <w:rsid w:val="B37FDDBC"/>
    <w:rsid w:val="BB3D7E62"/>
    <w:rsid w:val="BB767980"/>
    <w:rsid w:val="BE1D81E2"/>
    <w:rsid w:val="BFBF802D"/>
    <w:rsid w:val="BFFF99FB"/>
    <w:rsid w:val="CFADF751"/>
    <w:rsid w:val="CFAE987F"/>
    <w:rsid w:val="CFEC5EDF"/>
    <w:rsid w:val="D51F7140"/>
    <w:rsid w:val="D5DEC695"/>
    <w:rsid w:val="D5FD5A21"/>
    <w:rsid w:val="D71F0D5E"/>
    <w:rsid w:val="D73FCB30"/>
    <w:rsid w:val="DA7D1897"/>
    <w:rsid w:val="DCFAACA9"/>
    <w:rsid w:val="DD7B08C6"/>
    <w:rsid w:val="DDF5D369"/>
    <w:rsid w:val="DEEF12E6"/>
    <w:rsid w:val="DF0E6708"/>
    <w:rsid w:val="DF5F37F0"/>
    <w:rsid w:val="DFDF69C4"/>
    <w:rsid w:val="EADC8CAB"/>
    <w:rsid w:val="EB77DB68"/>
    <w:rsid w:val="EBBFF1FC"/>
    <w:rsid w:val="EDBFB313"/>
    <w:rsid w:val="EDFE5FEA"/>
    <w:rsid w:val="EEF7FA25"/>
    <w:rsid w:val="EEFB147A"/>
    <w:rsid w:val="EF9EA651"/>
    <w:rsid w:val="EFF12ED6"/>
    <w:rsid w:val="EFF73EE9"/>
    <w:rsid w:val="EFFEC5E4"/>
    <w:rsid w:val="EFFF70F0"/>
    <w:rsid w:val="F39DCF3C"/>
    <w:rsid w:val="F55BF937"/>
    <w:rsid w:val="F6FF188F"/>
    <w:rsid w:val="F756A0C0"/>
    <w:rsid w:val="F7A3FDAD"/>
    <w:rsid w:val="F7D9381B"/>
    <w:rsid w:val="FADF6FF0"/>
    <w:rsid w:val="FAF74924"/>
    <w:rsid w:val="FBDED681"/>
    <w:rsid w:val="FBEAB205"/>
    <w:rsid w:val="FBF9A36B"/>
    <w:rsid w:val="FC6DB5D2"/>
    <w:rsid w:val="FDCF620C"/>
    <w:rsid w:val="FDD7DB8A"/>
    <w:rsid w:val="FEAD3135"/>
    <w:rsid w:val="FF7BE838"/>
    <w:rsid w:val="FFCB1795"/>
    <w:rsid w:val="FFD7866B"/>
    <w:rsid w:val="FFE55124"/>
    <w:rsid w:val="FFF0E4A4"/>
    <w:rsid w:val="FFFA498E"/>
    <w:rsid w:val="FFFD004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0" w:semiHidden="0" w:name="Balloon Text"/>
    <w:lsdException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宋体"/>
      <w:kern w:val="2"/>
      <w:sz w:val="21"/>
      <w:szCs w:val="24"/>
      <w:lang w:val="en-US" w:eastAsia="zh-CN" w:bidi="ar-SA"/>
    </w:rPr>
  </w:style>
  <w:style w:type="paragraph" w:styleId="3">
    <w:name w:val="heading 1"/>
    <w:basedOn w:val="1"/>
    <w:next w:val="1"/>
    <w:link w:val="23"/>
    <w:qFormat/>
    <w:uiPriority w:val="0"/>
    <w:pPr>
      <w:keepNext/>
      <w:keepLines/>
      <w:spacing w:before="340" w:beforeLines="0" w:after="330" w:afterLines="0"/>
      <w:outlineLvl w:val="0"/>
    </w:pPr>
    <w:rPr>
      <w:rFonts w:cs="Times New Roman"/>
      <w:b/>
      <w:bCs/>
      <w:kern w:val="44"/>
      <w:sz w:val="28"/>
      <w:szCs w:val="44"/>
    </w:rPr>
  </w:style>
  <w:style w:type="paragraph" w:styleId="4">
    <w:name w:val="heading 2"/>
    <w:basedOn w:val="1"/>
    <w:next w:val="1"/>
    <w:link w:val="24"/>
    <w:qFormat/>
    <w:uiPriority w:val="0"/>
    <w:pPr>
      <w:keepNext/>
      <w:keepLines/>
      <w:spacing w:before="260" w:beforeLines="0" w:after="260" w:afterLines="0"/>
      <w:outlineLvl w:val="1"/>
    </w:pPr>
    <w:rPr>
      <w:rFonts w:ascii="Arial" w:hAnsi="Arial" w:cs="Times New Roman"/>
      <w:b/>
      <w:bCs/>
      <w:sz w:val="24"/>
      <w:szCs w:val="32"/>
    </w:rPr>
  </w:style>
  <w:style w:type="character" w:default="1" w:styleId="19">
    <w:name w:val="Default Paragraph Font"/>
    <w:uiPriority w:val="0"/>
  </w:style>
  <w:style w:type="table" w:default="1" w:styleId="17">
    <w:name w:val="Normal Table"/>
    <w:semiHidden/>
    <w:qFormat/>
    <w:uiPriority w:val="0"/>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style>
  <w:style w:type="paragraph" w:styleId="5">
    <w:name w:val="index 6"/>
    <w:basedOn w:val="1"/>
    <w:next w:val="1"/>
    <w:uiPriority w:val="0"/>
    <w:pPr>
      <w:ind w:left="1000" w:leftChars="1000"/>
    </w:pPr>
  </w:style>
  <w:style w:type="paragraph" w:styleId="6">
    <w:name w:val="Body Text"/>
    <w:basedOn w:val="1"/>
    <w:next w:val="7"/>
    <w:link w:val="25"/>
    <w:qFormat/>
    <w:uiPriority w:val="99"/>
    <w:rPr>
      <w:rFonts w:eastAsia="黑体"/>
      <w:b/>
      <w:bCs/>
      <w:sz w:val="44"/>
    </w:rPr>
  </w:style>
  <w:style w:type="paragraph" w:styleId="7">
    <w:name w:val="Body Text First Indent"/>
    <w:basedOn w:val="6"/>
    <w:qFormat/>
    <w:uiPriority w:val="0"/>
    <w:pPr>
      <w:spacing w:beforeLines="0"/>
      <w:ind w:firstLine="420" w:firstLineChars="100"/>
    </w:pPr>
    <w:rPr>
      <w:rFonts w:hint="default"/>
      <w:sz w:val="32"/>
      <w:szCs w:val="24"/>
    </w:rPr>
  </w:style>
  <w:style w:type="paragraph" w:styleId="8">
    <w:name w:val="Body Text Indent"/>
    <w:basedOn w:val="1"/>
    <w:link w:val="26"/>
    <w:uiPriority w:val="0"/>
    <w:pPr>
      <w:spacing w:after="120" w:afterLines="0"/>
      <w:ind w:left="420" w:leftChars="200"/>
    </w:pPr>
    <w:rPr>
      <w:rFonts w:eastAsia="宋体"/>
      <w:kern w:val="2"/>
      <w:sz w:val="21"/>
      <w:szCs w:val="24"/>
      <w:lang w:val="en-US" w:eastAsia="zh-CN" w:bidi="ar-SA"/>
    </w:rPr>
  </w:style>
  <w:style w:type="paragraph" w:styleId="9">
    <w:name w:val="Date"/>
    <w:basedOn w:val="1"/>
    <w:next w:val="1"/>
    <w:qFormat/>
    <w:uiPriority w:val="0"/>
    <w:pPr>
      <w:ind w:left="100" w:leftChars="2500"/>
    </w:pPr>
  </w:style>
  <w:style w:type="paragraph" w:styleId="10">
    <w:name w:val="Body Text Indent 2"/>
    <w:basedOn w:val="1"/>
    <w:link w:val="27"/>
    <w:qFormat/>
    <w:uiPriority w:val="0"/>
    <w:pPr>
      <w:spacing w:after="120" w:line="480" w:lineRule="auto"/>
      <w:ind w:left="420" w:leftChars="200"/>
    </w:pPr>
  </w:style>
  <w:style w:type="paragraph" w:styleId="11">
    <w:name w:val="Balloon Text"/>
    <w:basedOn w:val="1"/>
    <w:unhideWhenUsed/>
    <w:qFormat/>
    <w:uiPriority w:val="0"/>
    <w:rPr>
      <w:sz w:val="18"/>
      <w:szCs w:val="18"/>
    </w:rPr>
  </w:style>
  <w:style w:type="paragraph" w:styleId="12">
    <w:name w:val="footer"/>
    <w:basedOn w:val="1"/>
    <w:next w:val="1"/>
    <w:link w:val="28"/>
    <w:uiPriority w:val="99"/>
    <w:pPr>
      <w:tabs>
        <w:tab w:val="center" w:pos="4153"/>
        <w:tab w:val="right" w:pos="8306"/>
      </w:tabs>
      <w:snapToGrid w:val="0"/>
      <w:jc w:val="left"/>
    </w:pPr>
    <w:rPr>
      <w:sz w:val="18"/>
      <w:szCs w:val="18"/>
    </w:rPr>
  </w:style>
  <w:style w:type="paragraph" w:styleId="13">
    <w:name w:val="header"/>
    <w:basedOn w:val="1"/>
    <w:link w:val="29"/>
    <w:qFormat/>
    <w:uiPriority w:val="99"/>
    <w:pPr>
      <w:pBdr>
        <w:bottom w:val="single" w:color="auto" w:sz="6" w:space="1"/>
      </w:pBdr>
      <w:tabs>
        <w:tab w:val="center" w:pos="4153"/>
        <w:tab w:val="right" w:pos="8306"/>
      </w:tabs>
      <w:snapToGrid w:val="0"/>
      <w:jc w:val="center"/>
    </w:pPr>
    <w:rPr>
      <w:sz w:val="18"/>
      <w:szCs w:val="18"/>
    </w:rPr>
  </w:style>
  <w:style w:type="paragraph" w:styleId="14">
    <w:name w:val="HTML Preformatted"/>
    <w:basedOn w:val="1"/>
    <w:link w:val="3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kern w:val="0"/>
      <w:sz w:val="24"/>
    </w:rPr>
  </w:style>
  <w:style w:type="paragraph" w:styleId="15">
    <w:name w:val="Normal (Web)"/>
    <w:basedOn w:val="1"/>
    <w:qFormat/>
    <w:uiPriority w:val="0"/>
    <w:pPr>
      <w:jc w:val="left"/>
    </w:pPr>
    <w:rPr>
      <w:rFonts w:ascii="Times New Roman" w:hAnsi="Times New Roman" w:cs="Times New Roman"/>
      <w:kern w:val="0"/>
      <w:sz w:val="24"/>
    </w:rPr>
  </w:style>
  <w:style w:type="paragraph" w:styleId="16">
    <w:name w:val="Body Text First Indent 2"/>
    <w:basedOn w:val="8"/>
    <w:link w:val="31"/>
    <w:uiPriority w:val="0"/>
    <w:pPr>
      <w:ind w:firstLine="420" w:firstLineChars="200"/>
    </w:pPr>
  </w:style>
  <w:style w:type="table" w:styleId="18">
    <w:name w:val="Table Grid"/>
    <w:basedOn w:val="17"/>
    <w:unhideWhenUsed/>
    <w:uiPriority w:val="99"/>
    <w:pPr>
      <w:widowControl w:val="0"/>
      <w:jc w:val="both"/>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rPr>
  </w:style>
  <w:style w:type="character" w:styleId="21">
    <w:name w:val="page number"/>
    <w:basedOn w:val="19"/>
    <w:uiPriority w:val="0"/>
  </w:style>
  <w:style w:type="character" w:styleId="22">
    <w:name w:val="Hyperlink"/>
    <w:basedOn w:val="19"/>
    <w:uiPriority w:val="0"/>
    <w:rPr>
      <w:color w:val="0000FF"/>
      <w:u w:val="single"/>
    </w:rPr>
  </w:style>
  <w:style w:type="character" w:customStyle="1" w:styleId="23">
    <w:name w:val="标题 1 Char"/>
    <w:link w:val="3"/>
    <w:uiPriority w:val="0"/>
    <w:rPr>
      <w:rFonts w:eastAsia="宋体"/>
      <w:b/>
      <w:bCs/>
      <w:kern w:val="44"/>
      <w:sz w:val="28"/>
      <w:szCs w:val="44"/>
      <w:lang w:val="en-US" w:eastAsia="zh-CN" w:bidi="ar-SA"/>
    </w:rPr>
  </w:style>
  <w:style w:type="character" w:customStyle="1" w:styleId="24">
    <w:name w:val="标题 2 Char"/>
    <w:link w:val="4"/>
    <w:uiPriority w:val="0"/>
    <w:rPr>
      <w:rFonts w:ascii="Arial" w:hAnsi="Arial" w:eastAsia="宋体"/>
      <w:b/>
      <w:bCs/>
      <w:kern w:val="2"/>
      <w:sz w:val="24"/>
      <w:szCs w:val="32"/>
      <w:lang w:val="en-US" w:eastAsia="zh-CN" w:bidi="ar-SA"/>
    </w:rPr>
  </w:style>
  <w:style w:type="character" w:customStyle="1" w:styleId="25">
    <w:name w:val="正文文本 Char"/>
    <w:basedOn w:val="19"/>
    <w:link w:val="6"/>
    <w:uiPriority w:val="99"/>
    <w:rPr>
      <w:rFonts w:ascii="Calibri" w:hAnsi="Calibri" w:eastAsia="黑体" w:cs="宋体"/>
      <w:b/>
      <w:bCs/>
      <w:kern w:val="2"/>
      <w:sz w:val="44"/>
      <w:szCs w:val="24"/>
    </w:rPr>
  </w:style>
  <w:style w:type="character" w:customStyle="1" w:styleId="26">
    <w:name w:val="正文文本缩进 Char"/>
    <w:basedOn w:val="19"/>
    <w:link w:val="8"/>
    <w:uiPriority w:val="0"/>
    <w:rPr>
      <w:rFonts w:eastAsia="宋体"/>
      <w:kern w:val="2"/>
      <w:sz w:val="21"/>
      <w:szCs w:val="24"/>
      <w:lang w:val="en-US" w:eastAsia="zh-CN" w:bidi="ar-SA"/>
    </w:rPr>
  </w:style>
  <w:style w:type="character" w:customStyle="1" w:styleId="27">
    <w:name w:val="正文文本缩进 2 Char"/>
    <w:basedOn w:val="19"/>
    <w:link w:val="10"/>
    <w:qFormat/>
    <w:uiPriority w:val="0"/>
    <w:rPr>
      <w:rFonts w:ascii="Calibri" w:hAnsi="Calibri" w:cs="宋体"/>
      <w:kern w:val="2"/>
      <w:sz w:val="21"/>
      <w:szCs w:val="24"/>
    </w:rPr>
  </w:style>
  <w:style w:type="character" w:customStyle="1" w:styleId="28">
    <w:name w:val="页脚 Char"/>
    <w:basedOn w:val="19"/>
    <w:link w:val="12"/>
    <w:qFormat/>
    <w:locked/>
    <w:uiPriority w:val="99"/>
    <w:rPr>
      <w:rFonts w:ascii="Calibri" w:hAnsi="Calibri" w:cs="宋体"/>
      <w:kern w:val="2"/>
      <w:sz w:val="18"/>
      <w:szCs w:val="18"/>
    </w:rPr>
  </w:style>
  <w:style w:type="character" w:customStyle="1" w:styleId="29">
    <w:name w:val="页眉 Char"/>
    <w:basedOn w:val="19"/>
    <w:link w:val="13"/>
    <w:qFormat/>
    <w:uiPriority w:val="99"/>
    <w:rPr>
      <w:rFonts w:ascii="Calibri" w:hAnsi="Calibri" w:cs="宋体"/>
      <w:kern w:val="2"/>
      <w:sz w:val="18"/>
      <w:szCs w:val="18"/>
    </w:rPr>
  </w:style>
  <w:style w:type="character" w:customStyle="1" w:styleId="30">
    <w:name w:val="HTML 预设格式 Char"/>
    <w:basedOn w:val="19"/>
    <w:link w:val="14"/>
    <w:qFormat/>
    <w:uiPriority w:val="99"/>
    <w:rPr>
      <w:rFonts w:ascii="宋体" w:hAnsi="宋体" w:eastAsia="宋体" w:cs="宋体"/>
      <w:sz w:val="24"/>
      <w:szCs w:val="24"/>
    </w:rPr>
  </w:style>
  <w:style w:type="character" w:customStyle="1" w:styleId="31">
    <w:name w:val="正文首行缩进 2 Char"/>
    <w:basedOn w:val="26"/>
    <w:link w:val="16"/>
    <w:qFormat/>
    <w:uiPriority w:val="0"/>
    <w:rPr>
      <w:rFonts w:ascii="Calibri" w:hAnsi="Calibri" w:cs="宋体"/>
    </w:rPr>
  </w:style>
  <w:style w:type="character" w:customStyle="1" w:styleId="32">
    <w:name w:val="15"/>
    <w:basedOn w:val="19"/>
    <w:qFormat/>
    <w:uiPriority w:val="0"/>
    <w:rPr>
      <w:rFonts w:hint="default" w:ascii="Times New Roman" w:hAnsi="Times New Roman" w:eastAsia="宋体" w:cs="Times New Roman"/>
    </w:rPr>
  </w:style>
  <w:style w:type="character" w:customStyle="1" w:styleId="33">
    <w:name w:val="10"/>
    <w:basedOn w:val="19"/>
    <w:qFormat/>
    <w:uiPriority w:val="0"/>
    <w:rPr>
      <w:rFonts w:hint="default" w:ascii="Times New Roman" w:hAnsi="Times New Roman" w:eastAsia="宋体" w:cs="Times New Roman"/>
    </w:rPr>
  </w:style>
  <w:style w:type="paragraph" w:customStyle="1" w:styleId="34">
    <w:name w:val="Default"/>
    <w:unhideWhenUsed/>
    <w:qFormat/>
    <w:uiPriority w:val="99"/>
    <w:pPr>
      <w:widowControl w:val="0"/>
      <w:autoSpaceDE w:val="0"/>
      <w:autoSpaceDN w:val="0"/>
      <w:adjustRightInd w:val="0"/>
    </w:pPr>
    <w:rPr>
      <w:rFonts w:hint="eastAsia" w:ascii="仿宋" w:hAnsi="仿宋" w:eastAsia="仿宋" w:cs="Times New Roman"/>
      <w:color w:val="000000"/>
      <w:sz w:val="24"/>
      <w:lang w:val="en-US" w:eastAsia="zh-CN" w:bidi="ar-SA"/>
    </w:rPr>
  </w:style>
  <w:style w:type="paragraph" w:customStyle="1" w:styleId="35">
    <w:name w:val="p0"/>
    <w:next w:val="5"/>
    <w:qFormat/>
    <w:uiPriority w:val="0"/>
    <w:pPr>
      <w:jc w:val="both"/>
    </w:pPr>
    <w:rPr>
      <w:rFonts w:ascii="等线" w:hAnsi="等线" w:eastAsia="宋体" w:cs="等线"/>
      <w:sz w:val="21"/>
      <w:szCs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14</Pages>
  <Words>7862</Words>
  <Characters>8039</Characters>
  <Lines>7</Lines>
  <Paragraphs>2</Paragraphs>
  <TotalTime>9</TotalTime>
  <ScaleCrop>false</ScaleCrop>
  <LinksUpToDate>false</LinksUpToDate>
  <CharactersWithSpaces>8178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2024-02-11T21:13:00Z</dcterms:created>
  <dc:creator>Lenovo User</dc:creator>
  <cp:lastModifiedBy>织梦猫</cp:lastModifiedBy>
  <cp:lastPrinted>2025-09-17T06:19:00Z</cp:lastPrinted>
  <dcterms:modified xsi:type="dcterms:W3CDTF">2025-11-25T02:16:27Z</dcterms:modified>
  <dc:title>川卫函〔2015〕88号</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3370DB4D460A4B0D8E17CF6E024418DA_13</vt:lpwstr>
  </property>
  <property fmtid="{D5CDD505-2E9C-101B-9397-08002B2CF9AE}" pid="4" name="KSOTemplateDocerSaveRecord">
    <vt:lpwstr>eyJoZGlkIjoiZTFiY2U3ZmE2MjZjZDc1MmIzNGQwYzZjOWUyNTFjNDEiLCJ1c2VySWQiOiI2NTA2OTUwNzYifQ==</vt:lpwstr>
  </property>
</Properties>
</file>