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0D97" w:rsidRDefault="00000000">
      <w:pPr>
        <w:spacing w:line="600" w:lineRule="exact"/>
        <w:rPr>
          <w:rFonts w:eastAsia="黑体"/>
          <w:szCs w:val="32"/>
        </w:rPr>
      </w:pPr>
      <w:r>
        <w:rPr>
          <w:rFonts w:eastAsia="黑体"/>
          <w:szCs w:val="32"/>
        </w:rPr>
        <w:t>附件</w:t>
      </w:r>
    </w:p>
    <w:p w:rsidR="00980D97" w:rsidRDefault="00980D97">
      <w:pPr>
        <w:spacing w:line="600" w:lineRule="exact"/>
        <w:rPr>
          <w:szCs w:val="32"/>
        </w:rPr>
      </w:pPr>
    </w:p>
    <w:p w:rsidR="00980D97" w:rsidRDefault="00980D97">
      <w:pPr>
        <w:snapToGrid w:val="0"/>
        <w:spacing w:line="600" w:lineRule="exact"/>
        <w:jc w:val="center"/>
        <w:rPr>
          <w:rStyle w:val="10"/>
          <w:rFonts w:ascii="Times New Roman" w:eastAsia="方正小标宋_GBK" w:hAnsi="Times New Roman"/>
          <w:sz w:val="52"/>
          <w:szCs w:val="52"/>
        </w:rPr>
      </w:pPr>
    </w:p>
    <w:p w:rsidR="00980D97" w:rsidRDefault="00980D97">
      <w:pPr>
        <w:snapToGrid w:val="0"/>
        <w:spacing w:line="600" w:lineRule="exact"/>
        <w:jc w:val="center"/>
        <w:rPr>
          <w:rStyle w:val="10"/>
          <w:rFonts w:ascii="Times New Roman" w:eastAsia="方正小标宋_GBK" w:hAnsi="Times New Roman"/>
          <w:sz w:val="52"/>
          <w:szCs w:val="52"/>
        </w:rPr>
      </w:pPr>
    </w:p>
    <w:p w:rsidR="00980D97" w:rsidRDefault="00000000">
      <w:pPr>
        <w:snapToGrid w:val="0"/>
        <w:spacing w:line="600" w:lineRule="exact"/>
        <w:jc w:val="center"/>
        <w:rPr>
          <w:rStyle w:val="10"/>
          <w:rFonts w:ascii="Times New Roman" w:eastAsia="方正小标宋_GBK" w:hAnsi="Times New Roman"/>
        </w:rPr>
      </w:pPr>
      <w:r>
        <w:rPr>
          <w:rStyle w:val="10"/>
          <w:rFonts w:ascii="Times New Roman" w:eastAsia="方正小标宋_GBK" w:hAnsi="Times New Roman"/>
          <w:sz w:val="52"/>
          <w:szCs w:val="52"/>
        </w:rPr>
        <w:t>四川省工程技术研究中心</w:t>
      </w:r>
      <w:bookmarkStart w:id="0" w:name="_Toc31296"/>
      <w:r>
        <w:rPr>
          <w:rStyle w:val="10"/>
          <w:rFonts w:ascii="Times New Roman" w:eastAsia="方正小标宋_GBK" w:hAnsi="Times New Roman"/>
          <w:sz w:val="52"/>
          <w:szCs w:val="52"/>
        </w:rPr>
        <w:t>建设发展规划</w:t>
      </w:r>
      <w:r>
        <w:rPr>
          <w:rStyle w:val="10"/>
          <w:rFonts w:ascii="Times New Roman" w:eastAsia="方正小标宋_GBK" w:hAnsi="Times New Roman"/>
        </w:rPr>
        <w:t>（</w:t>
      </w:r>
      <w:r>
        <w:rPr>
          <w:rStyle w:val="10"/>
          <w:rFonts w:ascii="Times New Roman" w:eastAsia="方正小标宋_GBK" w:hAnsi="Times New Roman"/>
        </w:rPr>
        <w:t>2020-2025</w:t>
      </w:r>
      <w:r>
        <w:rPr>
          <w:rStyle w:val="10"/>
          <w:rFonts w:ascii="Times New Roman" w:eastAsia="方正小标宋_GBK" w:hAnsi="Times New Roman"/>
        </w:rPr>
        <w:t>年）</w:t>
      </w:r>
    </w:p>
    <w:bookmarkEnd w:id="0"/>
    <w:p w:rsidR="00980D97" w:rsidRDefault="00980D97">
      <w:pPr>
        <w:snapToGrid w:val="0"/>
        <w:spacing w:line="600" w:lineRule="exact"/>
        <w:jc w:val="center"/>
        <w:rPr>
          <w:rStyle w:val="10"/>
          <w:rFonts w:ascii="Times New Roman" w:eastAsia="楷体_GB2312" w:hAnsi="Times New Roman"/>
        </w:rPr>
      </w:pPr>
    </w:p>
    <w:p w:rsidR="00980D97" w:rsidRDefault="00980D97">
      <w:pPr>
        <w:snapToGrid w:val="0"/>
        <w:spacing w:line="600" w:lineRule="exact"/>
        <w:jc w:val="center"/>
        <w:rPr>
          <w:rStyle w:val="10"/>
          <w:rFonts w:ascii="Times New Roman" w:hAnsi="Times New Roman"/>
        </w:rPr>
      </w:pPr>
    </w:p>
    <w:p w:rsidR="00980D97" w:rsidRDefault="00980D97">
      <w:pPr>
        <w:snapToGrid w:val="0"/>
        <w:spacing w:line="600" w:lineRule="exact"/>
        <w:jc w:val="center"/>
        <w:rPr>
          <w:rStyle w:val="10"/>
          <w:rFonts w:ascii="Times New Roman" w:hAnsi="Times New Roman"/>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980D97">
      <w:pPr>
        <w:snapToGrid w:val="0"/>
        <w:spacing w:line="600" w:lineRule="exact"/>
        <w:jc w:val="center"/>
        <w:rPr>
          <w:rStyle w:val="10"/>
          <w:rFonts w:ascii="Times New Roman" w:eastAsia="楷体" w:hAnsi="Times New Roman"/>
          <w:sz w:val="36"/>
        </w:rPr>
      </w:pPr>
    </w:p>
    <w:p w:rsidR="00980D97" w:rsidRDefault="00000000">
      <w:pPr>
        <w:tabs>
          <w:tab w:val="center" w:pos="4422"/>
          <w:tab w:val="right" w:pos="8844"/>
        </w:tabs>
        <w:snapToGrid w:val="0"/>
        <w:spacing w:line="600" w:lineRule="exact"/>
        <w:rPr>
          <w:rStyle w:val="10"/>
          <w:rFonts w:ascii="Times New Roman" w:eastAsia="楷体" w:hAnsi="Times New Roman"/>
        </w:rPr>
      </w:pPr>
      <w:r>
        <w:rPr>
          <w:rStyle w:val="10"/>
          <w:rFonts w:ascii="Times New Roman" w:eastAsia="楷体" w:hAnsi="Times New Roman"/>
        </w:rPr>
        <w:tab/>
      </w:r>
      <w:r>
        <w:rPr>
          <w:rStyle w:val="10"/>
          <w:rFonts w:ascii="Times New Roman" w:eastAsia="楷体" w:hAnsi="Times New Roman"/>
        </w:rPr>
        <w:t>四川省科学技术厅</w:t>
      </w:r>
      <w:r>
        <w:rPr>
          <w:rStyle w:val="10"/>
          <w:rFonts w:ascii="Times New Roman" w:eastAsia="楷体" w:hAnsi="Times New Roman"/>
        </w:rPr>
        <w:tab/>
      </w:r>
    </w:p>
    <w:p w:rsidR="00980D97" w:rsidRDefault="00000000">
      <w:pPr>
        <w:pStyle w:val="a3"/>
        <w:tabs>
          <w:tab w:val="left" w:pos="1830"/>
        </w:tabs>
        <w:spacing w:line="600" w:lineRule="exact"/>
        <w:jc w:val="center"/>
        <w:rPr>
          <w:rFonts w:ascii="Times New Roman" w:eastAsia="黑体" w:hAnsi="Times New Roman"/>
        </w:rPr>
      </w:pPr>
      <w:r>
        <w:rPr>
          <w:rStyle w:val="10"/>
          <w:rFonts w:ascii="Times New Roman" w:eastAsia="楷体" w:hAnsi="Times New Roman"/>
        </w:rPr>
        <w:t>2020</w:t>
      </w:r>
      <w:r>
        <w:rPr>
          <w:rStyle w:val="10"/>
          <w:rFonts w:ascii="Times New Roman" w:eastAsia="楷体" w:hAnsi="Times New Roman"/>
        </w:rPr>
        <w:t>年</w:t>
      </w:r>
      <w:r>
        <w:rPr>
          <w:rStyle w:val="10"/>
          <w:rFonts w:ascii="Times New Roman" w:eastAsia="楷体" w:hAnsi="Times New Roman"/>
        </w:rPr>
        <w:t>4</w:t>
      </w:r>
      <w:r>
        <w:rPr>
          <w:rStyle w:val="10"/>
          <w:rFonts w:ascii="Times New Roman" w:eastAsia="楷体" w:hAnsi="Times New Roman"/>
        </w:rPr>
        <w:t>月</w:t>
      </w:r>
    </w:p>
    <w:p w:rsidR="00980D97" w:rsidRDefault="00000000">
      <w:pPr>
        <w:pStyle w:val="a3"/>
        <w:spacing w:line="600" w:lineRule="exact"/>
        <w:jc w:val="center"/>
        <w:rPr>
          <w:rFonts w:ascii="Times New Roman" w:eastAsia="黑体" w:hAnsi="Times New Roman"/>
          <w:sz w:val="36"/>
        </w:rPr>
      </w:pPr>
      <w:r>
        <w:rPr>
          <w:rFonts w:ascii="Times New Roman" w:eastAsia="黑体" w:hAnsi="Times New Roman"/>
          <w:sz w:val="44"/>
          <w:szCs w:val="44"/>
        </w:rPr>
        <w:br w:type="page"/>
      </w:r>
      <w:r>
        <w:rPr>
          <w:rFonts w:ascii="Times New Roman" w:eastAsia="黑体" w:hAnsi="Times New Roman"/>
          <w:sz w:val="36"/>
        </w:rPr>
        <w:lastRenderedPageBreak/>
        <w:t>目</w:t>
      </w:r>
      <w:r>
        <w:rPr>
          <w:rFonts w:ascii="Times New Roman" w:eastAsia="黑体" w:hAnsi="Times New Roman"/>
          <w:sz w:val="36"/>
        </w:rPr>
        <w:t xml:space="preserve">  </w:t>
      </w:r>
      <w:r>
        <w:rPr>
          <w:rFonts w:ascii="Times New Roman" w:eastAsia="黑体" w:hAnsi="Times New Roman"/>
          <w:sz w:val="36"/>
        </w:rPr>
        <w:t>录</w:t>
      </w:r>
    </w:p>
    <w:p w:rsidR="00980D97" w:rsidRDefault="00000000">
      <w:pPr>
        <w:pStyle w:val="TOC1"/>
        <w:tabs>
          <w:tab w:val="right" w:leader="dot" w:pos="8789"/>
          <w:tab w:val="right" w:leader="dot" w:pos="9060"/>
        </w:tabs>
        <w:adjustRightInd w:val="0"/>
        <w:snapToGrid w:val="0"/>
        <w:rPr>
          <w:rFonts w:eastAsia="宋体"/>
          <w:szCs w:val="32"/>
        </w:rPr>
      </w:pPr>
      <w:r>
        <w:rPr>
          <w:szCs w:val="32"/>
        </w:rPr>
        <w:fldChar w:fldCharType="begin"/>
      </w:r>
      <w:r>
        <w:rPr>
          <w:szCs w:val="32"/>
        </w:rPr>
        <w:instrText xml:space="preserve"> TOC \o "1-3" \h \z \u </w:instrText>
      </w:r>
      <w:r>
        <w:rPr>
          <w:szCs w:val="32"/>
        </w:rPr>
        <w:fldChar w:fldCharType="separate"/>
      </w:r>
      <w:r>
        <w:rPr>
          <w:rFonts w:eastAsia="黑体"/>
          <w:szCs w:val="32"/>
        </w:rPr>
        <w:t>一、现状分析</w:t>
      </w:r>
      <w:r>
        <w:rPr>
          <w:rFonts w:eastAsia="宋体"/>
          <w:szCs w:val="32"/>
        </w:rPr>
        <w:tab/>
        <w:t>1</w:t>
      </w:r>
    </w:p>
    <w:p w:rsidR="00980D97" w:rsidRDefault="00000000">
      <w:pPr>
        <w:pStyle w:val="TOC2"/>
        <w:tabs>
          <w:tab w:val="right" w:leader="dot" w:pos="8789"/>
        </w:tabs>
        <w:ind w:left="640"/>
        <w:rPr>
          <w:szCs w:val="32"/>
        </w:rPr>
      </w:pPr>
      <w:hyperlink r:id="rId8" w:anchor="_Toc21765612" w:history="1">
        <w:r>
          <w:rPr>
            <w:rStyle w:val="ac"/>
            <w:szCs w:val="32"/>
          </w:rPr>
          <w:t>（一）建设成效</w:t>
        </w:r>
        <w:r>
          <w:rPr>
            <w:rStyle w:val="ac"/>
            <w:szCs w:val="32"/>
          </w:rPr>
          <w:tab/>
        </w:r>
        <w:r>
          <w:rPr>
            <w:rStyle w:val="ac"/>
            <w:szCs w:val="32"/>
          </w:rPr>
          <w:fldChar w:fldCharType="begin"/>
        </w:r>
        <w:r>
          <w:rPr>
            <w:rStyle w:val="ac"/>
            <w:szCs w:val="32"/>
          </w:rPr>
          <w:instrText xml:space="preserve"> PAGEREF _Toc21765612 \h </w:instrText>
        </w:r>
        <w:r>
          <w:rPr>
            <w:rStyle w:val="ac"/>
            <w:szCs w:val="32"/>
          </w:rPr>
        </w:r>
        <w:r>
          <w:rPr>
            <w:rStyle w:val="ac"/>
            <w:szCs w:val="32"/>
          </w:rPr>
          <w:fldChar w:fldCharType="separate"/>
        </w:r>
        <w:r>
          <w:rPr>
            <w:rStyle w:val="ac"/>
            <w:szCs w:val="32"/>
          </w:rPr>
          <w:t>5</w:t>
        </w:r>
        <w:r>
          <w:rPr>
            <w:rStyle w:val="ac"/>
            <w:szCs w:val="32"/>
          </w:rPr>
          <w:fldChar w:fldCharType="end"/>
        </w:r>
      </w:hyperlink>
    </w:p>
    <w:p w:rsidR="00980D97" w:rsidRDefault="00000000">
      <w:pPr>
        <w:pStyle w:val="TOC2"/>
        <w:tabs>
          <w:tab w:val="right" w:leader="dot" w:pos="8789"/>
        </w:tabs>
        <w:ind w:left="640"/>
        <w:rPr>
          <w:szCs w:val="32"/>
        </w:rPr>
      </w:pPr>
      <w:hyperlink r:id="rId9" w:anchor="_Toc21765618" w:history="1">
        <w:r>
          <w:rPr>
            <w:rStyle w:val="ac"/>
            <w:szCs w:val="32"/>
          </w:rPr>
          <w:t>（二）布局情况</w:t>
        </w:r>
        <w:r>
          <w:rPr>
            <w:rStyle w:val="ac"/>
            <w:szCs w:val="32"/>
          </w:rPr>
          <w:tab/>
        </w:r>
        <w:r>
          <w:rPr>
            <w:rStyle w:val="ac"/>
            <w:szCs w:val="32"/>
          </w:rPr>
          <w:fldChar w:fldCharType="begin"/>
        </w:r>
        <w:r>
          <w:rPr>
            <w:rStyle w:val="ac"/>
            <w:szCs w:val="32"/>
          </w:rPr>
          <w:instrText xml:space="preserve"> PAGEREF _Toc21765618 \h </w:instrText>
        </w:r>
        <w:r>
          <w:rPr>
            <w:rStyle w:val="ac"/>
            <w:szCs w:val="32"/>
          </w:rPr>
        </w:r>
        <w:r>
          <w:rPr>
            <w:rStyle w:val="ac"/>
            <w:szCs w:val="32"/>
          </w:rPr>
          <w:fldChar w:fldCharType="separate"/>
        </w:r>
        <w:r>
          <w:rPr>
            <w:rStyle w:val="ac"/>
            <w:szCs w:val="32"/>
          </w:rPr>
          <w:t>7</w:t>
        </w:r>
        <w:r>
          <w:rPr>
            <w:rStyle w:val="ac"/>
            <w:szCs w:val="32"/>
          </w:rPr>
          <w:fldChar w:fldCharType="end"/>
        </w:r>
      </w:hyperlink>
    </w:p>
    <w:p w:rsidR="00980D97" w:rsidRDefault="00000000">
      <w:pPr>
        <w:pStyle w:val="TOC2"/>
        <w:tabs>
          <w:tab w:val="right" w:leader="dot" w:pos="8789"/>
        </w:tabs>
        <w:ind w:left="640"/>
        <w:rPr>
          <w:szCs w:val="32"/>
        </w:rPr>
      </w:pPr>
      <w:hyperlink r:id="rId10" w:anchor="_Toc21765622" w:history="1">
        <w:r>
          <w:rPr>
            <w:rStyle w:val="ac"/>
            <w:szCs w:val="32"/>
          </w:rPr>
          <w:t>（三）存在不足</w:t>
        </w:r>
        <w:r>
          <w:rPr>
            <w:rStyle w:val="ac"/>
            <w:szCs w:val="32"/>
          </w:rPr>
          <w:tab/>
        </w:r>
        <w:r>
          <w:rPr>
            <w:rStyle w:val="ac"/>
            <w:szCs w:val="32"/>
          </w:rPr>
          <w:fldChar w:fldCharType="begin"/>
        </w:r>
        <w:r>
          <w:rPr>
            <w:rStyle w:val="ac"/>
            <w:szCs w:val="32"/>
          </w:rPr>
          <w:instrText xml:space="preserve"> PAGEREF _Toc21765622 \h </w:instrText>
        </w:r>
        <w:r>
          <w:rPr>
            <w:rStyle w:val="ac"/>
            <w:szCs w:val="32"/>
          </w:rPr>
        </w:r>
        <w:r>
          <w:rPr>
            <w:rStyle w:val="ac"/>
            <w:szCs w:val="32"/>
          </w:rPr>
          <w:fldChar w:fldCharType="separate"/>
        </w:r>
        <w:r>
          <w:rPr>
            <w:rStyle w:val="ac"/>
            <w:szCs w:val="32"/>
          </w:rPr>
          <w:t>8</w:t>
        </w:r>
        <w:r>
          <w:rPr>
            <w:rStyle w:val="ac"/>
            <w:szCs w:val="32"/>
          </w:rPr>
          <w:fldChar w:fldCharType="end"/>
        </w:r>
      </w:hyperlink>
    </w:p>
    <w:p w:rsidR="00980D97" w:rsidRDefault="00000000">
      <w:pPr>
        <w:pStyle w:val="TOC1"/>
        <w:tabs>
          <w:tab w:val="right" w:leader="dot" w:pos="8789"/>
          <w:tab w:val="right" w:leader="dot" w:pos="9060"/>
        </w:tabs>
        <w:rPr>
          <w:rFonts w:eastAsia="宋体"/>
          <w:szCs w:val="32"/>
        </w:rPr>
      </w:pPr>
      <w:hyperlink r:id="rId11" w:anchor="_Toc21765627" w:history="1">
        <w:r>
          <w:rPr>
            <w:rStyle w:val="ac"/>
            <w:rFonts w:eastAsia="黑体"/>
            <w:szCs w:val="32"/>
          </w:rPr>
          <w:t>二、总体要求</w:t>
        </w:r>
        <w:r>
          <w:rPr>
            <w:rStyle w:val="ac"/>
            <w:szCs w:val="32"/>
          </w:rPr>
          <w:tab/>
        </w:r>
        <w:r>
          <w:rPr>
            <w:rStyle w:val="ac"/>
            <w:szCs w:val="32"/>
          </w:rPr>
          <w:fldChar w:fldCharType="begin"/>
        </w:r>
        <w:r>
          <w:rPr>
            <w:rStyle w:val="ac"/>
            <w:szCs w:val="32"/>
          </w:rPr>
          <w:instrText xml:space="preserve"> PAGEREF _Toc21765627 \h </w:instrText>
        </w:r>
        <w:r>
          <w:rPr>
            <w:rStyle w:val="ac"/>
            <w:szCs w:val="32"/>
          </w:rPr>
        </w:r>
        <w:r>
          <w:rPr>
            <w:rStyle w:val="ac"/>
            <w:szCs w:val="32"/>
          </w:rPr>
          <w:fldChar w:fldCharType="separate"/>
        </w:r>
        <w:r>
          <w:rPr>
            <w:rStyle w:val="ac"/>
            <w:szCs w:val="32"/>
          </w:rPr>
          <w:t>9</w:t>
        </w:r>
        <w:r>
          <w:rPr>
            <w:rStyle w:val="ac"/>
            <w:szCs w:val="32"/>
          </w:rPr>
          <w:fldChar w:fldCharType="end"/>
        </w:r>
      </w:hyperlink>
    </w:p>
    <w:p w:rsidR="00980D97" w:rsidRDefault="00000000">
      <w:pPr>
        <w:pStyle w:val="TOC2"/>
        <w:tabs>
          <w:tab w:val="right" w:leader="dot" w:pos="8789"/>
        </w:tabs>
        <w:ind w:left="640"/>
        <w:rPr>
          <w:szCs w:val="32"/>
        </w:rPr>
      </w:pPr>
      <w:hyperlink r:id="rId12" w:anchor="_Toc21765628" w:history="1">
        <w:r>
          <w:rPr>
            <w:rStyle w:val="ac"/>
            <w:szCs w:val="32"/>
          </w:rPr>
          <w:t>（一）指导思想</w:t>
        </w:r>
        <w:r>
          <w:rPr>
            <w:rStyle w:val="ac"/>
            <w:szCs w:val="32"/>
          </w:rPr>
          <w:tab/>
        </w:r>
        <w:r>
          <w:rPr>
            <w:rStyle w:val="ac"/>
            <w:szCs w:val="32"/>
          </w:rPr>
          <w:fldChar w:fldCharType="begin"/>
        </w:r>
        <w:r>
          <w:rPr>
            <w:rStyle w:val="ac"/>
            <w:szCs w:val="32"/>
          </w:rPr>
          <w:instrText xml:space="preserve"> PAGEREF _Toc21765628 \h </w:instrText>
        </w:r>
        <w:r>
          <w:rPr>
            <w:rStyle w:val="ac"/>
            <w:szCs w:val="32"/>
          </w:rPr>
        </w:r>
        <w:r>
          <w:rPr>
            <w:rStyle w:val="ac"/>
            <w:szCs w:val="32"/>
          </w:rPr>
          <w:fldChar w:fldCharType="separate"/>
        </w:r>
        <w:r>
          <w:rPr>
            <w:rStyle w:val="ac"/>
            <w:szCs w:val="32"/>
          </w:rPr>
          <w:t>9</w:t>
        </w:r>
        <w:r>
          <w:rPr>
            <w:rStyle w:val="ac"/>
            <w:szCs w:val="32"/>
          </w:rPr>
          <w:fldChar w:fldCharType="end"/>
        </w:r>
      </w:hyperlink>
    </w:p>
    <w:p w:rsidR="00980D97" w:rsidRDefault="00000000">
      <w:pPr>
        <w:pStyle w:val="TOC2"/>
        <w:tabs>
          <w:tab w:val="right" w:leader="dot" w:pos="8789"/>
        </w:tabs>
        <w:ind w:left="640"/>
        <w:rPr>
          <w:szCs w:val="32"/>
        </w:rPr>
      </w:pPr>
      <w:hyperlink r:id="rId13" w:anchor="_Toc21765629" w:history="1">
        <w:r>
          <w:rPr>
            <w:rStyle w:val="ac"/>
            <w:szCs w:val="32"/>
          </w:rPr>
          <w:t>（二）基本原则</w:t>
        </w:r>
        <w:r>
          <w:rPr>
            <w:rStyle w:val="ac"/>
            <w:szCs w:val="32"/>
          </w:rPr>
          <w:tab/>
        </w:r>
        <w:r>
          <w:rPr>
            <w:rStyle w:val="ac"/>
            <w:szCs w:val="32"/>
          </w:rPr>
          <w:fldChar w:fldCharType="begin"/>
        </w:r>
        <w:r>
          <w:rPr>
            <w:rStyle w:val="ac"/>
            <w:szCs w:val="32"/>
          </w:rPr>
          <w:instrText xml:space="preserve"> PAGEREF _Toc21765629 \h </w:instrText>
        </w:r>
        <w:r>
          <w:rPr>
            <w:rStyle w:val="ac"/>
            <w:szCs w:val="32"/>
          </w:rPr>
        </w:r>
        <w:r>
          <w:rPr>
            <w:rStyle w:val="ac"/>
            <w:szCs w:val="32"/>
          </w:rPr>
          <w:fldChar w:fldCharType="separate"/>
        </w:r>
        <w:r>
          <w:rPr>
            <w:rStyle w:val="ac"/>
            <w:szCs w:val="32"/>
          </w:rPr>
          <w:t>9</w:t>
        </w:r>
        <w:r>
          <w:rPr>
            <w:rStyle w:val="ac"/>
            <w:szCs w:val="32"/>
          </w:rPr>
          <w:fldChar w:fldCharType="end"/>
        </w:r>
      </w:hyperlink>
    </w:p>
    <w:p w:rsidR="00980D97" w:rsidRDefault="00000000">
      <w:pPr>
        <w:pStyle w:val="TOC2"/>
        <w:tabs>
          <w:tab w:val="right" w:leader="dot" w:pos="8789"/>
        </w:tabs>
        <w:ind w:left="640"/>
        <w:rPr>
          <w:szCs w:val="32"/>
        </w:rPr>
      </w:pPr>
      <w:hyperlink r:id="rId14" w:anchor="_Toc21765630" w:history="1">
        <w:r>
          <w:rPr>
            <w:rStyle w:val="ac"/>
            <w:szCs w:val="32"/>
          </w:rPr>
          <w:t>（三）建设定位</w:t>
        </w:r>
        <w:r>
          <w:rPr>
            <w:rStyle w:val="ac"/>
            <w:szCs w:val="32"/>
          </w:rPr>
          <w:tab/>
        </w:r>
        <w:r>
          <w:rPr>
            <w:rStyle w:val="ac"/>
            <w:szCs w:val="32"/>
          </w:rPr>
          <w:fldChar w:fldCharType="begin"/>
        </w:r>
        <w:r>
          <w:rPr>
            <w:rStyle w:val="ac"/>
            <w:szCs w:val="32"/>
          </w:rPr>
          <w:instrText xml:space="preserve"> PAGEREF _Toc21765630 \h </w:instrText>
        </w:r>
        <w:r>
          <w:rPr>
            <w:rStyle w:val="ac"/>
            <w:szCs w:val="32"/>
          </w:rPr>
        </w:r>
        <w:r>
          <w:rPr>
            <w:rStyle w:val="ac"/>
            <w:szCs w:val="32"/>
          </w:rPr>
          <w:fldChar w:fldCharType="separate"/>
        </w:r>
        <w:r>
          <w:rPr>
            <w:rStyle w:val="ac"/>
            <w:szCs w:val="32"/>
          </w:rPr>
          <w:t>10</w:t>
        </w:r>
        <w:r>
          <w:rPr>
            <w:rStyle w:val="ac"/>
            <w:szCs w:val="32"/>
          </w:rPr>
          <w:fldChar w:fldCharType="end"/>
        </w:r>
      </w:hyperlink>
    </w:p>
    <w:p w:rsidR="00980D97" w:rsidRDefault="00000000">
      <w:pPr>
        <w:pStyle w:val="TOC2"/>
        <w:tabs>
          <w:tab w:val="right" w:leader="dot" w:pos="8789"/>
        </w:tabs>
        <w:ind w:left="640"/>
        <w:rPr>
          <w:szCs w:val="32"/>
        </w:rPr>
      </w:pPr>
      <w:hyperlink r:id="rId15" w:anchor="_Toc21765631" w:history="1">
        <w:r>
          <w:rPr>
            <w:rStyle w:val="ac"/>
            <w:szCs w:val="32"/>
          </w:rPr>
          <w:t>（四）发展目标</w:t>
        </w:r>
        <w:r>
          <w:rPr>
            <w:rStyle w:val="ac"/>
            <w:szCs w:val="32"/>
          </w:rPr>
          <w:tab/>
        </w:r>
        <w:r>
          <w:rPr>
            <w:rStyle w:val="ac"/>
            <w:szCs w:val="32"/>
          </w:rPr>
          <w:fldChar w:fldCharType="begin"/>
        </w:r>
        <w:r>
          <w:rPr>
            <w:rStyle w:val="ac"/>
            <w:szCs w:val="32"/>
          </w:rPr>
          <w:instrText xml:space="preserve"> PAGEREF _Toc21765631 \h </w:instrText>
        </w:r>
        <w:r>
          <w:rPr>
            <w:rStyle w:val="ac"/>
            <w:szCs w:val="32"/>
          </w:rPr>
        </w:r>
        <w:r>
          <w:rPr>
            <w:rStyle w:val="ac"/>
            <w:szCs w:val="32"/>
          </w:rPr>
          <w:fldChar w:fldCharType="separate"/>
        </w:r>
        <w:r>
          <w:rPr>
            <w:rStyle w:val="ac"/>
            <w:szCs w:val="32"/>
          </w:rPr>
          <w:t>11</w:t>
        </w:r>
        <w:r>
          <w:rPr>
            <w:rStyle w:val="ac"/>
            <w:szCs w:val="32"/>
          </w:rPr>
          <w:fldChar w:fldCharType="end"/>
        </w:r>
      </w:hyperlink>
    </w:p>
    <w:p w:rsidR="00980D97" w:rsidRDefault="00000000">
      <w:pPr>
        <w:pStyle w:val="TOC1"/>
        <w:tabs>
          <w:tab w:val="right" w:leader="dot" w:pos="8789"/>
          <w:tab w:val="right" w:leader="dot" w:pos="9060"/>
        </w:tabs>
        <w:rPr>
          <w:rFonts w:eastAsia="宋体"/>
          <w:szCs w:val="32"/>
        </w:rPr>
      </w:pPr>
      <w:hyperlink r:id="rId16" w:anchor="_Toc21765632" w:history="1">
        <w:r>
          <w:rPr>
            <w:rStyle w:val="ac"/>
            <w:rFonts w:eastAsia="黑体"/>
            <w:szCs w:val="32"/>
          </w:rPr>
          <w:t>三、重点任务</w:t>
        </w:r>
        <w:r>
          <w:rPr>
            <w:rStyle w:val="ac"/>
            <w:szCs w:val="32"/>
          </w:rPr>
          <w:tab/>
        </w:r>
        <w:r>
          <w:rPr>
            <w:rStyle w:val="ac"/>
            <w:szCs w:val="32"/>
          </w:rPr>
          <w:fldChar w:fldCharType="begin"/>
        </w:r>
        <w:r>
          <w:rPr>
            <w:rStyle w:val="ac"/>
            <w:szCs w:val="32"/>
          </w:rPr>
          <w:instrText xml:space="preserve"> PAGEREF _Toc21765632 \h </w:instrText>
        </w:r>
        <w:r>
          <w:rPr>
            <w:rStyle w:val="ac"/>
            <w:szCs w:val="32"/>
          </w:rPr>
        </w:r>
        <w:r>
          <w:rPr>
            <w:rStyle w:val="ac"/>
            <w:szCs w:val="32"/>
          </w:rPr>
          <w:fldChar w:fldCharType="separate"/>
        </w:r>
        <w:r>
          <w:rPr>
            <w:rStyle w:val="ac"/>
            <w:szCs w:val="32"/>
          </w:rPr>
          <w:t>12</w:t>
        </w:r>
        <w:r>
          <w:rPr>
            <w:rStyle w:val="ac"/>
            <w:szCs w:val="32"/>
          </w:rPr>
          <w:fldChar w:fldCharType="end"/>
        </w:r>
      </w:hyperlink>
    </w:p>
    <w:p w:rsidR="00980D97" w:rsidRDefault="00000000">
      <w:pPr>
        <w:pStyle w:val="TOC2"/>
        <w:tabs>
          <w:tab w:val="right" w:leader="dot" w:pos="8789"/>
        </w:tabs>
        <w:ind w:left="640"/>
        <w:rPr>
          <w:szCs w:val="32"/>
        </w:rPr>
      </w:pPr>
      <w:hyperlink r:id="rId17" w:anchor="_Toc21765633" w:history="1">
        <w:r>
          <w:rPr>
            <w:rStyle w:val="ac"/>
            <w:szCs w:val="32"/>
          </w:rPr>
          <w:t>（一）优化建设布局</w:t>
        </w:r>
        <w:r>
          <w:rPr>
            <w:rStyle w:val="ac"/>
            <w:szCs w:val="32"/>
          </w:rPr>
          <w:tab/>
        </w:r>
        <w:r>
          <w:rPr>
            <w:rStyle w:val="ac"/>
            <w:szCs w:val="32"/>
          </w:rPr>
          <w:fldChar w:fldCharType="begin"/>
        </w:r>
        <w:r>
          <w:rPr>
            <w:rStyle w:val="ac"/>
            <w:szCs w:val="32"/>
          </w:rPr>
          <w:instrText xml:space="preserve"> PAGEREF _Toc21765633 \h </w:instrText>
        </w:r>
        <w:r>
          <w:rPr>
            <w:rStyle w:val="ac"/>
            <w:szCs w:val="32"/>
          </w:rPr>
        </w:r>
        <w:r>
          <w:rPr>
            <w:rStyle w:val="ac"/>
            <w:szCs w:val="32"/>
          </w:rPr>
          <w:fldChar w:fldCharType="separate"/>
        </w:r>
        <w:r>
          <w:rPr>
            <w:rStyle w:val="ac"/>
            <w:szCs w:val="32"/>
          </w:rPr>
          <w:t>12</w:t>
        </w:r>
        <w:r>
          <w:rPr>
            <w:rStyle w:val="ac"/>
            <w:szCs w:val="32"/>
          </w:rPr>
          <w:fldChar w:fldCharType="end"/>
        </w:r>
      </w:hyperlink>
    </w:p>
    <w:p w:rsidR="00980D97" w:rsidRDefault="00000000">
      <w:pPr>
        <w:pStyle w:val="TOC2"/>
        <w:tabs>
          <w:tab w:val="right" w:leader="dot" w:pos="8789"/>
        </w:tabs>
        <w:ind w:left="640"/>
        <w:rPr>
          <w:szCs w:val="32"/>
        </w:rPr>
      </w:pPr>
      <w:hyperlink r:id="rId18" w:anchor="_Toc21765636" w:history="1">
        <w:r>
          <w:rPr>
            <w:rStyle w:val="ac"/>
            <w:szCs w:val="32"/>
          </w:rPr>
          <w:t>（二）提升建设质量</w:t>
        </w:r>
        <w:r>
          <w:rPr>
            <w:rStyle w:val="ac"/>
            <w:szCs w:val="32"/>
          </w:rPr>
          <w:tab/>
        </w:r>
        <w:r>
          <w:rPr>
            <w:rStyle w:val="ac"/>
            <w:szCs w:val="32"/>
          </w:rPr>
          <w:fldChar w:fldCharType="begin"/>
        </w:r>
        <w:r>
          <w:rPr>
            <w:rStyle w:val="ac"/>
            <w:szCs w:val="32"/>
          </w:rPr>
          <w:instrText xml:space="preserve"> PAGEREF _Toc21765636 \h </w:instrText>
        </w:r>
        <w:r>
          <w:rPr>
            <w:rStyle w:val="ac"/>
            <w:szCs w:val="32"/>
          </w:rPr>
        </w:r>
        <w:r>
          <w:rPr>
            <w:rStyle w:val="ac"/>
            <w:szCs w:val="32"/>
          </w:rPr>
          <w:fldChar w:fldCharType="separate"/>
        </w:r>
        <w:r>
          <w:rPr>
            <w:rStyle w:val="ac"/>
            <w:szCs w:val="32"/>
          </w:rPr>
          <w:t>16</w:t>
        </w:r>
        <w:r>
          <w:rPr>
            <w:rStyle w:val="ac"/>
            <w:szCs w:val="32"/>
          </w:rPr>
          <w:fldChar w:fldCharType="end"/>
        </w:r>
      </w:hyperlink>
    </w:p>
    <w:p w:rsidR="00980D97" w:rsidRDefault="00000000">
      <w:pPr>
        <w:pStyle w:val="TOC2"/>
        <w:tabs>
          <w:tab w:val="right" w:leader="dot" w:pos="8789"/>
        </w:tabs>
        <w:ind w:left="640"/>
        <w:rPr>
          <w:szCs w:val="32"/>
        </w:rPr>
      </w:pPr>
      <w:hyperlink r:id="rId19" w:anchor="_Toc21765642" w:history="1">
        <w:r>
          <w:rPr>
            <w:rStyle w:val="ac"/>
            <w:szCs w:val="32"/>
          </w:rPr>
          <w:t>（三）强化运行管理</w:t>
        </w:r>
        <w:r>
          <w:rPr>
            <w:rStyle w:val="ac"/>
            <w:szCs w:val="32"/>
          </w:rPr>
          <w:tab/>
        </w:r>
        <w:r>
          <w:rPr>
            <w:rStyle w:val="ac"/>
            <w:szCs w:val="32"/>
          </w:rPr>
          <w:fldChar w:fldCharType="begin"/>
        </w:r>
        <w:r>
          <w:rPr>
            <w:rStyle w:val="ac"/>
            <w:szCs w:val="32"/>
          </w:rPr>
          <w:instrText xml:space="preserve"> PAGEREF _Toc21765642 \h </w:instrText>
        </w:r>
        <w:r>
          <w:rPr>
            <w:rStyle w:val="ac"/>
            <w:szCs w:val="32"/>
          </w:rPr>
        </w:r>
        <w:r>
          <w:rPr>
            <w:rStyle w:val="ac"/>
            <w:szCs w:val="32"/>
          </w:rPr>
          <w:fldChar w:fldCharType="separate"/>
        </w:r>
        <w:r>
          <w:rPr>
            <w:rStyle w:val="ac"/>
            <w:szCs w:val="32"/>
          </w:rPr>
          <w:t>18</w:t>
        </w:r>
        <w:r>
          <w:rPr>
            <w:rStyle w:val="ac"/>
            <w:szCs w:val="32"/>
          </w:rPr>
          <w:fldChar w:fldCharType="end"/>
        </w:r>
      </w:hyperlink>
    </w:p>
    <w:p w:rsidR="00980D97" w:rsidRDefault="00000000">
      <w:pPr>
        <w:pStyle w:val="TOC1"/>
        <w:tabs>
          <w:tab w:val="right" w:leader="dot" w:pos="8789"/>
          <w:tab w:val="right" w:leader="dot" w:pos="9060"/>
        </w:tabs>
        <w:rPr>
          <w:rFonts w:eastAsia="宋体"/>
          <w:szCs w:val="32"/>
        </w:rPr>
      </w:pPr>
      <w:hyperlink r:id="rId20" w:anchor="_Toc21765646" w:history="1">
        <w:r>
          <w:rPr>
            <w:rStyle w:val="ac"/>
            <w:rFonts w:eastAsia="黑体"/>
            <w:szCs w:val="32"/>
          </w:rPr>
          <w:t>四、保障措施</w:t>
        </w:r>
        <w:r>
          <w:rPr>
            <w:rStyle w:val="ac"/>
            <w:szCs w:val="32"/>
          </w:rPr>
          <w:tab/>
        </w:r>
        <w:r>
          <w:rPr>
            <w:rStyle w:val="ac"/>
            <w:szCs w:val="32"/>
          </w:rPr>
          <w:fldChar w:fldCharType="begin"/>
        </w:r>
        <w:r>
          <w:rPr>
            <w:rStyle w:val="ac"/>
            <w:szCs w:val="32"/>
          </w:rPr>
          <w:instrText xml:space="preserve"> PAGEREF _Toc21765646 \h </w:instrText>
        </w:r>
        <w:r>
          <w:rPr>
            <w:rStyle w:val="ac"/>
            <w:szCs w:val="32"/>
          </w:rPr>
        </w:r>
        <w:r>
          <w:rPr>
            <w:rStyle w:val="ac"/>
            <w:szCs w:val="32"/>
          </w:rPr>
          <w:fldChar w:fldCharType="separate"/>
        </w:r>
        <w:r>
          <w:rPr>
            <w:rStyle w:val="ac"/>
            <w:szCs w:val="32"/>
          </w:rPr>
          <w:t>20</w:t>
        </w:r>
        <w:r>
          <w:rPr>
            <w:rStyle w:val="ac"/>
            <w:szCs w:val="32"/>
          </w:rPr>
          <w:fldChar w:fldCharType="end"/>
        </w:r>
      </w:hyperlink>
    </w:p>
    <w:p w:rsidR="00980D97" w:rsidRDefault="00000000">
      <w:pPr>
        <w:pStyle w:val="TOC2"/>
        <w:tabs>
          <w:tab w:val="right" w:leader="dot" w:pos="8789"/>
        </w:tabs>
        <w:ind w:left="640"/>
        <w:rPr>
          <w:szCs w:val="32"/>
        </w:rPr>
      </w:pPr>
      <w:hyperlink r:id="rId21" w:anchor="_Toc21765647" w:history="1">
        <w:r>
          <w:rPr>
            <w:rStyle w:val="ac"/>
            <w:szCs w:val="32"/>
          </w:rPr>
          <w:t>（一）加强组织领导</w:t>
        </w:r>
        <w:r>
          <w:rPr>
            <w:rStyle w:val="ac"/>
            <w:szCs w:val="32"/>
          </w:rPr>
          <w:tab/>
        </w:r>
        <w:r>
          <w:rPr>
            <w:rStyle w:val="ac"/>
            <w:szCs w:val="32"/>
          </w:rPr>
          <w:fldChar w:fldCharType="begin"/>
        </w:r>
        <w:r>
          <w:rPr>
            <w:rStyle w:val="ac"/>
            <w:szCs w:val="32"/>
          </w:rPr>
          <w:instrText xml:space="preserve"> PAGEREF _Toc21765647 \h </w:instrText>
        </w:r>
        <w:r>
          <w:rPr>
            <w:rStyle w:val="ac"/>
            <w:szCs w:val="32"/>
          </w:rPr>
        </w:r>
        <w:r>
          <w:rPr>
            <w:rStyle w:val="ac"/>
            <w:szCs w:val="32"/>
          </w:rPr>
          <w:fldChar w:fldCharType="separate"/>
        </w:r>
        <w:r>
          <w:rPr>
            <w:rStyle w:val="ac"/>
            <w:szCs w:val="32"/>
          </w:rPr>
          <w:t>20</w:t>
        </w:r>
        <w:r>
          <w:rPr>
            <w:rStyle w:val="ac"/>
            <w:szCs w:val="32"/>
          </w:rPr>
          <w:fldChar w:fldCharType="end"/>
        </w:r>
      </w:hyperlink>
    </w:p>
    <w:p w:rsidR="00980D97" w:rsidRDefault="00000000">
      <w:pPr>
        <w:pStyle w:val="TOC2"/>
        <w:tabs>
          <w:tab w:val="right" w:leader="dot" w:pos="8789"/>
        </w:tabs>
        <w:ind w:left="640"/>
        <w:rPr>
          <w:szCs w:val="32"/>
        </w:rPr>
      </w:pPr>
      <w:hyperlink r:id="rId22" w:anchor="_Toc21765648" w:history="1">
        <w:r>
          <w:rPr>
            <w:rStyle w:val="ac"/>
            <w:szCs w:val="32"/>
          </w:rPr>
          <w:t>（二）加强政策引导</w:t>
        </w:r>
        <w:r>
          <w:rPr>
            <w:rStyle w:val="ac"/>
            <w:szCs w:val="32"/>
          </w:rPr>
          <w:tab/>
        </w:r>
        <w:r>
          <w:rPr>
            <w:rStyle w:val="ac"/>
            <w:szCs w:val="32"/>
          </w:rPr>
          <w:fldChar w:fldCharType="begin"/>
        </w:r>
        <w:r>
          <w:rPr>
            <w:rStyle w:val="ac"/>
            <w:szCs w:val="32"/>
          </w:rPr>
          <w:instrText xml:space="preserve"> PAGEREF _Toc21765648 \h </w:instrText>
        </w:r>
        <w:r>
          <w:rPr>
            <w:rStyle w:val="ac"/>
            <w:szCs w:val="32"/>
          </w:rPr>
        </w:r>
        <w:r>
          <w:rPr>
            <w:rStyle w:val="ac"/>
            <w:szCs w:val="32"/>
          </w:rPr>
          <w:fldChar w:fldCharType="separate"/>
        </w:r>
        <w:r>
          <w:rPr>
            <w:rStyle w:val="ac"/>
            <w:szCs w:val="32"/>
          </w:rPr>
          <w:t>20</w:t>
        </w:r>
        <w:r>
          <w:rPr>
            <w:rStyle w:val="ac"/>
            <w:szCs w:val="32"/>
          </w:rPr>
          <w:fldChar w:fldCharType="end"/>
        </w:r>
      </w:hyperlink>
    </w:p>
    <w:p w:rsidR="00980D97" w:rsidRDefault="00000000">
      <w:pPr>
        <w:pStyle w:val="TOC2"/>
        <w:tabs>
          <w:tab w:val="right" w:leader="dot" w:pos="8789"/>
        </w:tabs>
        <w:ind w:left="640"/>
        <w:rPr>
          <w:szCs w:val="32"/>
        </w:rPr>
      </w:pPr>
      <w:hyperlink r:id="rId23" w:anchor="_Toc21765649" w:history="1">
        <w:r>
          <w:rPr>
            <w:rStyle w:val="ac"/>
            <w:szCs w:val="32"/>
          </w:rPr>
          <w:t>（三）加强宣传交流</w:t>
        </w:r>
        <w:r>
          <w:rPr>
            <w:rStyle w:val="ac"/>
            <w:szCs w:val="32"/>
          </w:rPr>
          <w:tab/>
        </w:r>
        <w:r>
          <w:rPr>
            <w:rStyle w:val="ac"/>
            <w:szCs w:val="32"/>
          </w:rPr>
          <w:fldChar w:fldCharType="begin"/>
        </w:r>
        <w:r>
          <w:rPr>
            <w:rStyle w:val="ac"/>
            <w:szCs w:val="32"/>
          </w:rPr>
          <w:instrText xml:space="preserve"> PAGEREF _Toc21765649 \h </w:instrText>
        </w:r>
        <w:r>
          <w:rPr>
            <w:rStyle w:val="ac"/>
            <w:szCs w:val="32"/>
          </w:rPr>
        </w:r>
        <w:r>
          <w:rPr>
            <w:rStyle w:val="ac"/>
            <w:szCs w:val="32"/>
          </w:rPr>
          <w:fldChar w:fldCharType="separate"/>
        </w:r>
        <w:r>
          <w:rPr>
            <w:rStyle w:val="ac"/>
            <w:szCs w:val="32"/>
          </w:rPr>
          <w:t>21</w:t>
        </w:r>
        <w:r>
          <w:rPr>
            <w:rStyle w:val="ac"/>
            <w:szCs w:val="32"/>
          </w:rPr>
          <w:fldChar w:fldCharType="end"/>
        </w:r>
      </w:hyperlink>
      <w:r>
        <w:rPr>
          <w:rFonts w:eastAsia="仿宋"/>
          <w:bCs/>
          <w:szCs w:val="32"/>
          <w:lang w:val="zh-CN"/>
        </w:rPr>
        <w:fldChar w:fldCharType="end"/>
      </w:r>
    </w:p>
    <w:p w:rsidR="00980D97" w:rsidRDefault="00980D97">
      <w:pPr>
        <w:spacing w:beforeAutospacing="1" w:afterAutospacing="1"/>
        <w:rPr>
          <w:kern w:val="0"/>
          <w:szCs w:val="32"/>
        </w:rPr>
        <w:sectPr w:rsidR="00980D97">
          <w:headerReference w:type="default" r:id="rId24"/>
          <w:footerReference w:type="even" r:id="rId25"/>
          <w:footerReference w:type="default" r:id="rId26"/>
          <w:pgSz w:w="11906" w:h="16838"/>
          <w:pgMar w:top="2098" w:right="1474" w:bottom="1985" w:left="1588" w:header="851" w:footer="1474" w:gutter="0"/>
          <w:pgNumType w:start="1"/>
          <w:cols w:space="720"/>
          <w:docGrid w:linePitch="312"/>
        </w:sectPr>
      </w:pPr>
    </w:p>
    <w:p w:rsidR="00980D97" w:rsidRDefault="00980D97">
      <w:pPr>
        <w:pStyle w:val="a3"/>
        <w:spacing w:line="540" w:lineRule="exact"/>
        <w:jc w:val="center"/>
        <w:rPr>
          <w:rFonts w:ascii="Times New Roman" w:eastAsia="方正小标宋_GBK" w:hAnsi="Times New Roman"/>
          <w:sz w:val="44"/>
          <w:szCs w:val="44"/>
        </w:rPr>
      </w:pPr>
    </w:p>
    <w:p w:rsidR="00980D97" w:rsidRDefault="00000000">
      <w:pPr>
        <w:pStyle w:val="a3"/>
        <w:spacing w:line="540" w:lineRule="exact"/>
        <w:jc w:val="center"/>
        <w:rPr>
          <w:rFonts w:ascii="Times New Roman" w:eastAsia="方正小标宋_GBK" w:hAnsi="Times New Roman"/>
          <w:sz w:val="44"/>
          <w:szCs w:val="44"/>
        </w:rPr>
      </w:pPr>
      <w:r>
        <w:rPr>
          <w:rFonts w:ascii="Times New Roman" w:eastAsia="方正小标宋_GBK" w:hAnsi="Times New Roman"/>
          <w:sz w:val="44"/>
          <w:szCs w:val="44"/>
        </w:rPr>
        <w:t>四川省工程技术研究中心建设发展规划（</w:t>
      </w:r>
      <w:r>
        <w:rPr>
          <w:rFonts w:ascii="Times New Roman" w:eastAsia="方正小标宋_GBK" w:hAnsi="Times New Roman"/>
          <w:sz w:val="44"/>
          <w:szCs w:val="44"/>
        </w:rPr>
        <w:t>2020-2025</w:t>
      </w:r>
      <w:r>
        <w:rPr>
          <w:rFonts w:ascii="Times New Roman" w:eastAsia="方正小标宋_GBK" w:hAnsi="Times New Roman"/>
          <w:sz w:val="44"/>
          <w:szCs w:val="44"/>
        </w:rPr>
        <w:t>年）</w:t>
      </w:r>
    </w:p>
    <w:p w:rsidR="00980D97" w:rsidRDefault="00980D97">
      <w:pPr>
        <w:spacing w:line="540" w:lineRule="exact"/>
        <w:ind w:firstLineChars="200" w:firstLine="640"/>
        <w:rPr>
          <w:szCs w:val="32"/>
        </w:rPr>
      </w:pPr>
    </w:p>
    <w:p w:rsidR="00980D97" w:rsidRDefault="00000000">
      <w:pPr>
        <w:spacing w:line="540" w:lineRule="exact"/>
        <w:ind w:firstLineChars="200" w:firstLine="640"/>
        <w:rPr>
          <w:szCs w:val="32"/>
        </w:rPr>
      </w:pPr>
      <w:r>
        <w:rPr>
          <w:szCs w:val="32"/>
        </w:rPr>
        <w:t>四川省工程技术研究中心（以下简称</w:t>
      </w:r>
      <w:r>
        <w:rPr>
          <w:szCs w:val="32"/>
        </w:rPr>
        <w:t>“</w:t>
      </w:r>
      <w:r>
        <w:rPr>
          <w:szCs w:val="32"/>
        </w:rPr>
        <w:t>工程中心</w:t>
      </w:r>
      <w:r>
        <w:rPr>
          <w:szCs w:val="32"/>
        </w:rPr>
        <w:t>”</w:t>
      </w:r>
      <w:r>
        <w:rPr>
          <w:szCs w:val="32"/>
        </w:rPr>
        <w:t>）是依托科技型企业、科研机构和高等院校建设的面向全省产业发展需求的技术创新平台，是我省科技创新体系的重要组成部分。目前，全省共有工程中心</w:t>
      </w:r>
      <w:r>
        <w:rPr>
          <w:szCs w:val="32"/>
        </w:rPr>
        <w:t>265</w:t>
      </w:r>
      <w:r>
        <w:rPr>
          <w:szCs w:val="32"/>
        </w:rPr>
        <w:t>家，其中国家级</w:t>
      </w:r>
      <w:r>
        <w:rPr>
          <w:szCs w:val="32"/>
        </w:rPr>
        <w:t>16</w:t>
      </w:r>
      <w:r>
        <w:rPr>
          <w:szCs w:val="32"/>
        </w:rPr>
        <w:t>家，省级</w:t>
      </w:r>
      <w:r>
        <w:rPr>
          <w:szCs w:val="32"/>
        </w:rPr>
        <w:t>249</w:t>
      </w:r>
      <w:r>
        <w:rPr>
          <w:szCs w:val="32"/>
        </w:rPr>
        <w:t>家。自</w:t>
      </w:r>
      <w:r>
        <w:rPr>
          <w:szCs w:val="32"/>
        </w:rPr>
        <w:t>1992</w:t>
      </w:r>
      <w:r>
        <w:rPr>
          <w:szCs w:val="32"/>
        </w:rPr>
        <w:t>年建设以来，工程中心聚焦区域产业发展需求，在产业技术创新、成果应用转化、工程技术人才培养、行业服务和对外合作交流等方面取得了显著成绩，为我省科技进步和产业发展提供了重要支撑。当前，全省深入贯彻落实创新驱动发展战略，着力构建</w:t>
      </w:r>
      <w:r>
        <w:rPr>
          <w:szCs w:val="32"/>
        </w:rPr>
        <w:t>“5+1”</w:t>
      </w:r>
      <w:r>
        <w:rPr>
          <w:szCs w:val="32"/>
        </w:rPr>
        <w:t>现代工业体系、</w:t>
      </w:r>
      <w:r>
        <w:rPr>
          <w:szCs w:val="32"/>
        </w:rPr>
        <w:t xml:space="preserve">“10+3” </w:t>
      </w:r>
      <w:r>
        <w:rPr>
          <w:szCs w:val="32"/>
        </w:rPr>
        <w:t>现代农业体系和</w:t>
      </w:r>
      <w:r>
        <w:rPr>
          <w:szCs w:val="32"/>
        </w:rPr>
        <w:t>“4+6”</w:t>
      </w:r>
      <w:r>
        <w:rPr>
          <w:szCs w:val="32"/>
        </w:rPr>
        <w:t>现代服务业体系，大力建设区域创新载体、突破共性关键核心技术、推动传统产业转型升级，对工程中心建设和发展提出了新的更高的要求。面临新形势、适应新需求，为进一步加强工程中心建设顶层设计、明确建设定位和目标任务，更大发挥工程中心对行业的支撑引领作用，推动我省工程中心高质量发展，特制订本规划。</w:t>
      </w:r>
      <w:bookmarkStart w:id="1" w:name="_Toc21765611"/>
    </w:p>
    <w:p w:rsidR="00980D97" w:rsidRDefault="00000000">
      <w:pPr>
        <w:spacing w:line="540" w:lineRule="exact"/>
        <w:ind w:firstLineChars="200" w:firstLine="640"/>
        <w:rPr>
          <w:rFonts w:eastAsia="黑体"/>
          <w:szCs w:val="32"/>
        </w:rPr>
      </w:pPr>
      <w:r>
        <w:rPr>
          <w:rFonts w:eastAsia="黑体"/>
          <w:szCs w:val="32"/>
        </w:rPr>
        <w:t>一、现状分析</w:t>
      </w:r>
      <w:bookmarkEnd w:id="1"/>
    </w:p>
    <w:p w:rsidR="00980D97" w:rsidRDefault="00000000">
      <w:pPr>
        <w:spacing w:line="540" w:lineRule="exact"/>
        <w:ind w:firstLineChars="200" w:firstLine="640"/>
        <w:rPr>
          <w:rFonts w:eastAsia="楷体_GB2312"/>
          <w:szCs w:val="32"/>
        </w:rPr>
      </w:pPr>
      <w:bookmarkStart w:id="2" w:name="_Toc21765612"/>
      <w:r>
        <w:rPr>
          <w:rFonts w:eastAsia="楷体_GB2312"/>
          <w:szCs w:val="32"/>
        </w:rPr>
        <w:t>（一）建设成效</w:t>
      </w:r>
      <w:bookmarkEnd w:id="2"/>
      <w:r>
        <w:rPr>
          <w:rFonts w:eastAsia="楷体_GB2312"/>
          <w:szCs w:val="32"/>
        </w:rPr>
        <w:t>。</w:t>
      </w:r>
    </w:p>
    <w:p w:rsidR="00980D97" w:rsidRDefault="00000000">
      <w:pPr>
        <w:spacing w:line="540" w:lineRule="exact"/>
        <w:ind w:firstLineChars="200" w:firstLine="640"/>
        <w:rPr>
          <w:szCs w:val="32"/>
        </w:rPr>
      </w:pPr>
      <w:bookmarkStart w:id="3" w:name="_Toc28387"/>
      <w:bookmarkStart w:id="4" w:name="_Toc21612044"/>
      <w:bookmarkStart w:id="5" w:name="_Toc21765613"/>
      <w:r>
        <w:rPr>
          <w:szCs w:val="32"/>
        </w:rPr>
        <w:t>1.</w:t>
      </w:r>
      <w:r>
        <w:rPr>
          <w:szCs w:val="32"/>
        </w:rPr>
        <w:t>技术创新不断突破</w:t>
      </w:r>
      <w:bookmarkEnd w:id="3"/>
      <w:bookmarkEnd w:id="4"/>
      <w:bookmarkEnd w:id="5"/>
      <w:r>
        <w:rPr>
          <w:szCs w:val="32"/>
        </w:rPr>
        <w:t>。</w:t>
      </w:r>
    </w:p>
    <w:p w:rsidR="00980D97" w:rsidRDefault="00000000">
      <w:pPr>
        <w:spacing w:line="540" w:lineRule="exact"/>
        <w:ind w:firstLineChars="200" w:firstLine="640"/>
        <w:rPr>
          <w:szCs w:val="32"/>
        </w:rPr>
      </w:pPr>
      <w:r>
        <w:rPr>
          <w:szCs w:val="32"/>
        </w:rPr>
        <w:lastRenderedPageBreak/>
        <w:t>工程中心聚焦我省产业发展开展系统性、工程化研究开发，不断增加研发投入经费，突破了一系列产业关键核心技术，取得了一批具有自主知识产权、产业化前景广阔的高新技术成果，有效提升了我省产业技术自主创新能力和产品市场竞争力。</w:t>
      </w:r>
      <w:r>
        <w:rPr>
          <w:szCs w:val="32"/>
        </w:rPr>
        <w:t>2018</w:t>
      </w:r>
      <w:r>
        <w:rPr>
          <w:szCs w:val="32"/>
        </w:rPr>
        <w:t>年度，全工程中心共投入研发经费</w:t>
      </w:r>
      <w:r>
        <w:rPr>
          <w:szCs w:val="32"/>
        </w:rPr>
        <w:t>70.8</w:t>
      </w:r>
      <w:r>
        <w:rPr>
          <w:szCs w:val="32"/>
        </w:rPr>
        <w:t>亿元，建有固定研究场地</w:t>
      </w:r>
      <w:r>
        <w:rPr>
          <w:szCs w:val="32"/>
        </w:rPr>
        <w:t>15</w:t>
      </w:r>
      <w:r>
        <w:rPr>
          <w:szCs w:val="32"/>
        </w:rPr>
        <w:t>万平方米，</w:t>
      </w:r>
      <w:r>
        <w:rPr>
          <w:szCs w:val="32"/>
        </w:rPr>
        <w:t>100</w:t>
      </w:r>
      <w:r>
        <w:rPr>
          <w:szCs w:val="32"/>
        </w:rPr>
        <w:t>万元以上设备</w:t>
      </w:r>
      <w:r>
        <w:rPr>
          <w:szCs w:val="32"/>
        </w:rPr>
        <w:t>1050</w:t>
      </w:r>
      <w:r>
        <w:rPr>
          <w:szCs w:val="32"/>
        </w:rPr>
        <w:t>台</w:t>
      </w:r>
      <w:r>
        <w:rPr>
          <w:szCs w:val="32"/>
        </w:rPr>
        <w:t>/</w:t>
      </w:r>
      <w:r>
        <w:rPr>
          <w:szCs w:val="32"/>
        </w:rPr>
        <w:t>套。实施各类科技计划项目</w:t>
      </w:r>
      <w:r>
        <w:rPr>
          <w:szCs w:val="32"/>
        </w:rPr>
        <w:t>1620</w:t>
      </w:r>
      <w:r>
        <w:rPr>
          <w:szCs w:val="32"/>
        </w:rPr>
        <w:t>项，获授权专利</w:t>
      </w:r>
      <w:r>
        <w:rPr>
          <w:szCs w:val="32"/>
        </w:rPr>
        <w:t>1940</w:t>
      </w:r>
      <w:r>
        <w:rPr>
          <w:szCs w:val="32"/>
        </w:rPr>
        <w:t>项，实现技术服务收入</w:t>
      </w:r>
      <w:r>
        <w:rPr>
          <w:szCs w:val="32"/>
        </w:rPr>
        <w:t>180.1</w:t>
      </w:r>
      <w:r>
        <w:rPr>
          <w:szCs w:val="32"/>
        </w:rPr>
        <w:t>亿元。</w:t>
      </w:r>
    </w:p>
    <w:p w:rsidR="00980D97" w:rsidRDefault="00000000">
      <w:pPr>
        <w:spacing w:line="540" w:lineRule="exact"/>
        <w:ind w:firstLineChars="200" w:firstLine="640"/>
        <w:rPr>
          <w:szCs w:val="32"/>
        </w:rPr>
      </w:pPr>
      <w:bookmarkStart w:id="6" w:name="_Toc21765614"/>
      <w:bookmarkStart w:id="7" w:name="_Toc21612045"/>
      <w:bookmarkStart w:id="8" w:name="_Toc20099"/>
      <w:r>
        <w:rPr>
          <w:szCs w:val="32"/>
        </w:rPr>
        <w:t>2.</w:t>
      </w:r>
      <w:r>
        <w:rPr>
          <w:szCs w:val="32"/>
        </w:rPr>
        <w:t>成果转化加快推进</w:t>
      </w:r>
      <w:bookmarkEnd w:id="6"/>
      <w:bookmarkEnd w:id="7"/>
      <w:bookmarkEnd w:id="8"/>
      <w:r>
        <w:rPr>
          <w:szCs w:val="32"/>
        </w:rPr>
        <w:t>。</w:t>
      </w:r>
    </w:p>
    <w:p w:rsidR="00980D97" w:rsidRDefault="00000000">
      <w:pPr>
        <w:spacing w:line="540" w:lineRule="exact"/>
        <w:ind w:firstLineChars="200" w:firstLine="640"/>
        <w:rPr>
          <w:szCs w:val="32"/>
        </w:rPr>
      </w:pPr>
      <w:r>
        <w:rPr>
          <w:szCs w:val="32"/>
        </w:rPr>
        <w:t>工程中心转化的大量技术成果广泛应用到生产一线，多项新技术和新产品实现了产业化，有效提升了我省产业综合实力。</w:t>
      </w:r>
      <w:r>
        <w:rPr>
          <w:szCs w:val="32"/>
        </w:rPr>
        <w:t>2018</w:t>
      </w:r>
      <w:r>
        <w:rPr>
          <w:szCs w:val="32"/>
        </w:rPr>
        <w:t>年度，全工程中心共转化科技成果</w:t>
      </w:r>
      <w:r>
        <w:rPr>
          <w:szCs w:val="32"/>
        </w:rPr>
        <w:t>3700</w:t>
      </w:r>
      <w:r>
        <w:rPr>
          <w:szCs w:val="32"/>
        </w:rPr>
        <w:t>项，实现技术收入</w:t>
      </w:r>
      <w:r>
        <w:rPr>
          <w:szCs w:val="32"/>
        </w:rPr>
        <w:t>302</w:t>
      </w:r>
      <w:r>
        <w:rPr>
          <w:szCs w:val="32"/>
        </w:rPr>
        <w:t>亿元，开发新产品</w:t>
      </w:r>
      <w:r>
        <w:rPr>
          <w:szCs w:val="32"/>
        </w:rPr>
        <w:t>4660</w:t>
      </w:r>
      <w:r>
        <w:rPr>
          <w:szCs w:val="32"/>
        </w:rPr>
        <w:t>项，新产品销售收入</w:t>
      </w:r>
      <w:r>
        <w:rPr>
          <w:szCs w:val="32"/>
        </w:rPr>
        <w:t>421</w:t>
      </w:r>
      <w:r>
        <w:rPr>
          <w:szCs w:val="32"/>
        </w:rPr>
        <w:t>亿元，实现利润</w:t>
      </w:r>
      <w:r>
        <w:rPr>
          <w:szCs w:val="32"/>
        </w:rPr>
        <w:t>9.1</w:t>
      </w:r>
      <w:r>
        <w:rPr>
          <w:szCs w:val="32"/>
        </w:rPr>
        <w:t>亿元，带动上下游产业收入</w:t>
      </w:r>
      <w:r>
        <w:rPr>
          <w:szCs w:val="32"/>
        </w:rPr>
        <w:t>1500</w:t>
      </w:r>
      <w:r>
        <w:rPr>
          <w:szCs w:val="32"/>
        </w:rPr>
        <w:t>亿元。</w:t>
      </w:r>
    </w:p>
    <w:p w:rsidR="00980D97" w:rsidRDefault="00000000">
      <w:pPr>
        <w:spacing w:line="540" w:lineRule="exact"/>
        <w:ind w:firstLineChars="200" w:firstLine="640"/>
        <w:rPr>
          <w:szCs w:val="32"/>
        </w:rPr>
      </w:pPr>
      <w:bookmarkStart w:id="9" w:name="_Toc17196"/>
      <w:bookmarkStart w:id="10" w:name="_Toc21612046"/>
      <w:bookmarkStart w:id="11" w:name="_Toc21765615"/>
      <w:r>
        <w:rPr>
          <w:szCs w:val="32"/>
        </w:rPr>
        <w:t>3.</w:t>
      </w:r>
      <w:r>
        <w:rPr>
          <w:szCs w:val="32"/>
        </w:rPr>
        <w:t>人才培育卓有成效</w:t>
      </w:r>
      <w:bookmarkEnd w:id="9"/>
      <w:bookmarkEnd w:id="10"/>
      <w:bookmarkEnd w:id="11"/>
      <w:r>
        <w:rPr>
          <w:szCs w:val="32"/>
        </w:rPr>
        <w:t>。</w:t>
      </w:r>
    </w:p>
    <w:p w:rsidR="00980D97" w:rsidRDefault="00000000">
      <w:pPr>
        <w:spacing w:line="540" w:lineRule="exact"/>
        <w:ind w:firstLineChars="200" w:firstLine="640"/>
        <w:rPr>
          <w:szCs w:val="32"/>
        </w:rPr>
      </w:pPr>
      <w:r>
        <w:rPr>
          <w:szCs w:val="32"/>
        </w:rPr>
        <w:t>工程中心结合自身优势，充分发挥人才培养作用，瞄准产业发展急需的</w:t>
      </w:r>
      <w:r>
        <w:rPr>
          <w:szCs w:val="32"/>
        </w:rPr>
        <w:t>“</w:t>
      </w:r>
      <w:r>
        <w:rPr>
          <w:szCs w:val="32"/>
        </w:rPr>
        <w:t>高精尖缺</w:t>
      </w:r>
      <w:r>
        <w:rPr>
          <w:szCs w:val="32"/>
        </w:rPr>
        <w:t>”</w:t>
      </w:r>
      <w:r>
        <w:rPr>
          <w:szCs w:val="32"/>
        </w:rPr>
        <w:t>人才，精准引进和培养了一批产业创新人才，以高质量人才集聚助推了产业转型升级。截至目前，全省</w:t>
      </w:r>
      <w:r>
        <w:rPr>
          <w:szCs w:val="32"/>
        </w:rPr>
        <w:t>270</w:t>
      </w:r>
      <w:r>
        <w:rPr>
          <w:szCs w:val="32"/>
        </w:rPr>
        <w:t>家工程中心共有技术创新人才</w:t>
      </w:r>
      <w:r>
        <w:rPr>
          <w:szCs w:val="32"/>
        </w:rPr>
        <w:t>1.1</w:t>
      </w:r>
      <w:r>
        <w:rPr>
          <w:szCs w:val="32"/>
        </w:rPr>
        <w:t>万人，其中博士</w:t>
      </w:r>
      <w:r>
        <w:rPr>
          <w:szCs w:val="32"/>
        </w:rPr>
        <w:t>2298</w:t>
      </w:r>
      <w:r>
        <w:rPr>
          <w:szCs w:val="32"/>
        </w:rPr>
        <w:t>人，硕士</w:t>
      </w:r>
      <w:r>
        <w:rPr>
          <w:szCs w:val="32"/>
        </w:rPr>
        <w:t>3807</w:t>
      </w:r>
      <w:r>
        <w:rPr>
          <w:szCs w:val="32"/>
        </w:rPr>
        <w:t>人，占技术人员总数的</w:t>
      </w:r>
      <w:r>
        <w:rPr>
          <w:szCs w:val="32"/>
        </w:rPr>
        <w:t>55%</w:t>
      </w:r>
      <w:r>
        <w:rPr>
          <w:szCs w:val="32"/>
        </w:rPr>
        <w:t>；院士</w:t>
      </w:r>
      <w:r>
        <w:rPr>
          <w:szCs w:val="32"/>
        </w:rPr>
        <w:t>6</w:t>
      </w:r>
      <w:r>
        <w:rPr>
          <w:szCs w:val="32"/>
        </w:rPr>
        <w:t>人，国家千人</w:t>
      </w:r>
      <w:r>
        <w:rPr>
          <w:szCs w:val="32"/>
        </w:rPr>
        <w:t>10</w:t>
      </w:r>
      <w:r>
        <w:rPr>
          <w:szCs w:val="32"/>
        </w:rPr>
        <w:t>人，国家万人</w:t>
      </w:r>
      <w:r>
        <w:rPr>
          <w:szCs w:val="32"/>
        </w:rPr>
        <w:t>11</w:t>
      </w:r>
      <w:r>
        <w:rPr>
          <w:szCs w:val="32"/>
        </w:rPr>
        <w:t>人，省千人</w:t>
      </w:r>
      <w:r>
        <w:rPr>
          <w:szCs w:val="32"/>
        </w:rPr>
        <w:t>21</w:t>
      </w:r>
      <w:r>
        <w:rPr>
          <w:szCs w:val="32"/>
        </w:rPr>
        <w:t>人，省学术技术带头人</w:t>
      </w:r>
      <w:r>
        <w:rPr>
          <w:szCs w:val="32"/>
        </w:rPr>
        <w:t>53</w:t>
      </w:r>
      <w:r>
        <w:rPr>
          <w:szCs w:val="32"/>
        </w:rPr>
        <w:t>人；共培养各类工程技术创新人才</w:t>
      </w:r>
      <w:r>
        <w:rPr>
          <w:szCs w:val="32"/>
        </w:rPr>
        <w:t>6940</w:t>
      </w:r>
      <w:r>
        <w:rPr>
          <w:szCs w:val="32"/>
        </w:rPr>
        <w:t>人，其中博士</w:t>
      </w:r>
      <w:r>
        <w:rPr>
          <w:szCs w:val="32"/>
        </w:rPr>
        <w:t>2020</w:t>
      </w:r>
      <w:r>
        <w:rPr>
          <w:szCs w:val="32"/>
        </w:rPr>
        <w:t>人，硕士</w:t>
      </w:r>
      <w:r>
        <w:rPr>
          <w:szCs w:val="32"/>
        </w:rPr>
        <w:t>4920</w:t>
      </w:r>
      <w:r>
        <w:rPr>
          <w:szCs w:val="32"/>
        </w:rPr>
        <w:t>人。同时，工程中心注重高端人才的引进，引进了高端材</w:t>
      </w:r>
      <w:r>
        <w:rPr>
          <w:szCs w:val="32"/>
        </w:rPr>
        <w:lastRenderedPageBreak/>
        <w:t>料、先进制造、大数据、人工智能等领域高端紧缺创新型人才</w:t>
      </w:r>
      <w:r>
        <w:rPr>
          <w:szCs w:val="32"/>
        </w:rPr>
        <w:t>300</w:t>
      </w:r>
      <w:r>
        <w:rPr>
          <w:szCs w:val="32"/>
        </w:rPr>
        <w:t>余人，建立了灵活高效的用人制度，推动了关键核心技术的突破。</w:t>
      </w:r>
    </w:p>
    <w:p w:rsidR="00980D97" w:rsidRDefault="00000000">
      <w:pPr>
        <w:spacing w:line="540" w:lineRule="exact"/>
        <w:ind w:firstLineChars="200" w:firstLine="640"/>
        <w:rPr>
          <w:szCs w:val="32"/>
        </w:rPr>
      </w:pPr>
      <w:bookmarkStart w:id="12" w:name="_Toc21612047"/>
      <w:bookmarkStart w:id="13" w:name="_Toc21765616"/>
      <w:bookmarkStart w:id="14" w:name="_Toc20483"/>
      <w:r>
        <w:rPr>
          <w:szCs w:val="32"/>
        </w:rPr>
        <w:t>4.</w:t>
      </w:r>
      <w:r>
        <w:rPr>
          <w:szCs w:val="32"/>
        </w:rPr>
        <w:t>行业服务扎实推进</w:t>
      </w:r>
      <w:bookmarkEnd w:id="12"/>
      <w:bookmarkEnd w:id="13"/>
      <w:bookmarkEnd w:id="14"/>
      <w:r>
        <w:rPr>
          <w:szCs w:val="32"/>
        </w:rPr>
        <w:t>。</w:t>
      </w:r>
    </w:p>
    <w:p w:rsidR="00980D97" w:rsidRDefault="00000000">
      <w:pPr>
        <w:spacing w:line="540" w:lineRule="exact"/>
        <w:ind w:firstLineChars="200" w:firstLine="640"/>
        <w:rPr>
          <w:szCs w:val="32"/>
        </w:rPr>
      </w:pPr>
      <w:r>
        <w:rPr>
          <w:szCs w:val="32"/>
        </w:rPr>
        <w:t>工程中心结合产业发展需求，积极为行业内相关单位提供技术服务，大力推动科研资源开放共享，拓展了科技资源共享共用的广度和深度，进一步提高了行业服务能力和水平。</w:t>
      </w:r>
      <w:r>
        <w:rPr>
          <w:szCs w:val="32"/>
        </w:rPr>
        <w:t>2018</w:t>
      </w:r>
      <w:r>
        <w:rPr>
          <w:szCs w:val="32"/>
        </w:rPr>
        <w:t>年度，工程中心累计开展各类工程试验检测、技术认证次数达</w:t>
      </w:r>
      <w:r>
        <w:rPr>
          <w:szCs w:val="32"/>
        </w:rPr>
        <w:t>1.4</w:t>
      </w:r>
      <w:r>
        <w:rPr>
          <w:szCs w:val="32"/>
        </w:rPr>
        <w:t>万次；开展各类技术管理培训活动、行业领域新技术讲座和国内外科技合作与交流活动近</w:t>
      </w:r>
      <w:r>
        <w:rPr>
          <w:szCs w:val="32"/>
        </w:rPr>
        <w:t>1200</w:t>
      </w:r>
      <w:r>
        <w:rPr>
          <w:szCs w:val="32"/>
        </w:rPr>
        <w:t>场，培训各类行业技术和管理人员</w:t>
      </w:r>
      <w:r>
        <w:rPr>
          <w:szCs w:val="32"/>
        </w:rPr>
        <w:t>3.8</w:t>
      </w:r>
      <w:r>
        <w:rPr>
          <w:szCs w:val="32"/>
        </w:rPr>
        <w:t>万人次；对外开放共享实验室</w:t>
      </w:r>
      <w:r>
        <w:rPr>
          <w:szCs w:val="32"/>
        </w:rPr>
        <w:t>790</w:t>
      </w:r>
      <w:r>
        <w:rPr>
          <w:szCs w:val="32"/>
        </w:rPr>
        <w:t>余次，开放设备</w:t>
      </w:r>
      <w:r>
        <w:rPr>
          <w:szCs w:val="32"/>
        </w:rPr>
        <w:t>1080</w:t>
      </w:r>
      <w:r>
        <w:rPr>
          <w:szCs w:val="32"/>
        </w:rPr>
        <w:t>台（套），开放生产线</w:t>
      </w:r>
      <w:r>
        <w:rPr>
          <w:szCs w:val="32"/>
        </w:rPr>
        <w:t>560</w:t>
      </w:r>
      <w:r>
        <w:rPr>
          <w:szCs w:val="32"/>
        </w:rPr>
        <w:t>余次。</w:t>
      </w:r>
    </w:p>
    <w:p w:rsidR="00980D97" w:rsidRDefault="00000000">
      <w:pPr>
        <w:spacing w:line="540" w:lineRule="exact"/>
        <w:ind w:firstLineChars="200" w:firstLine="640"/>
        <w:rPr>
          <w:szCs w:val="32"/>
        </w:rPr>
      </w:pPr>
      <w:bookmarkStart w:id="15" w:name="_Toc21612048"/>
      <w:bookmarkStart w:id="16" w:name="_Toc14524"/>
      <w:bookmarkStart w:id="17" w:name="_Toc21765617"/>
      <w:r>
        <w:rPr>
          <w:szCs w:val="32"/>
        </w:rPr>
        <w:t>5.</w:t>
      </w:r>
      <w:r>
        <w:rPr>
          <w:szCs w:val="32"/>
        </w:rPr>
        <w:t>合作交流不断深化</w:t>
      </w:r>
      <w:bookmarkEnd w:id="15"/>
      <w:bookmarkEnd w:id="16"/>
      <w:bookmarkEnd w:id="17"/>
      <w:r>
        <w:rPr>
          <w:szCs w:val="32"/>
        </w:rPr>
        <w:t>。</w:t>
      </w:r>
    </w:p>
    <w:p w:rsidR="00980D97" w:rsidRDefault="00000000">
      <w:pPr>
        <w:spacing w:line="540" w:lineRule="exact"/>
        <w:ind w:firstLineChars="200" w:firstLine="640"/>
        <w:rPr>
          <w:szCs w:val="32"/>
        </w:rPr>
      </w:pPr>
      <w:r>
        <w:rPr>
          <w:szCs w:val="32"/>
        </w:rPr>
        <w:t>我省工程中心与众多国内外著名高校院所、企业建立了长期紧密的合作关系，通过技术引进、合作开发、联合培养人才等多种方式，充分利用国内外创新资源，有效提升了工程中心科研成果技术含量和工程化水平。</w:t>
      </w:r>
      <w:r>
        <w:rPr>
          <w:szCs w:val="32"/>
        </w:rPr>
        <w:t>2018</w:t>
      </w:r>
      <w:r>
        <w:rPr>
          <w:szCs w:val="32"/>
        </w:rPr>
        <w:t>年度，与国内外</w:t>
      </w:r>
      <w:r>
        <w:rPr>
          <w:szCs w:val="32"/>
        </w:rPr>
        <w:t>478</w:t>
      </w:r>
      <w:r>
        <w:rPr>
          <w:szCs w:val="32"/>
        </w:rPr>
        <w:t>家机构开展合作，其中国内机构</w:t>
      </w:r>
      <w:r>
        <w:rPr>
          <w:szCs w:val="32"/>
        </w:rPr>
        <w:t>381</w:t>
      </w:r>
      <w:r>
        <w:rPr>
          <w:szCs w:val="32"/>
        </w:rPr>
        <w:t>家，国外机构</w:t>
      </w:r>
      <w:r>
        <w:rPr>
          <w:szCs w:val="32"/>
        </w:rPr>
        <w:t>97</w:t>
      </w:r>
      <w:r>
        <w:rPr>
          <w:szCs w:val="32"/>
        </w:rPr>
        <w:t>家，累计签订合作项目</w:t>
      </w:r>
      <w:r>
        <w:rPr>
          <w:szCs w:val="32"/>
        </w:rPr>
        <w:t>865</w:t>
      </w:r>
      <w:r>
        <w:rPr>
          <w:szCs w:val="32"/>
        </w:rPr>
        <w:t>项，合同金额达到</w:t>
      </w:r>
      <w:r>
        <w:rPr>
          <w:szCs w:val="32"/>
        </w:rPr>
        <w:t>15.6</w:t>
      </w:r>
      <w:r>
        <w:rPr>
          <w:szCs w:val="32"/>
        </w:rPr>
        <w:t>亿元，联合组织各类学术会议和学术交流活动</w:t>
      </w:r>
      <w:r>
        <w:rPr>
          <w:szCs w:val="32"/>
        </w:rPr>
        <w:t>2084</w:t>
      </w:r>
      <w:r>
        <w:rPr>
          <w:szCs w:val="32"/>
        </w:rPr>
        <w:t>次。</w:t>
      </w:r>
    </w:p>
    <w:p w:rsidR="00980D97" w:rsidRDefault="00000000">
      <w:pPr>
        <w:spacing w:line="540" w:lineRule="exact"/>
        <w:ind w:firstLineChars="200" w:firstLine="640"/>
        <w:rPr>
          <w:rFonts w:eastAsia="楷体_GB2312"/>
          <w:szCs w:val="32"/>
        </w:rPr>
      </w:pPr>
      <w:bookmarkStart w:id="18" w:name="_Toc21765618"/>
      <w:r>
        <w:rPr>
          <w:rFonts w:eastAsia="楷体_GB2312"/>
          <w:szCs w:val="32"/>
        </w:rPr>
        <w:t>（二）布局情况</w:t>
      </w:r>
      <w:bookmarkEnd w:id="18"/>
      <w:r>
        <w:rPr>
          <w:rFonts w:eastAsia="楷体_GB2312"/>
          <w:szCs w:val="32"/>
        </w:rPr>
        <w:t>。</w:t>
      </w:r>
    </w:p>
    <w:p w:rsidR="00980D97" w:rsidRDefault="00000000">
      <w:pPr>
        <w:spacing w:line="540" w:lineRule="exact"/>
        <w:ind w:firstLineChars="200" w:firstLine="640"/>
        <w:rPr>
          <w:szCs w:val="32"/>
        </w:rPr>
      </w:pPr>
      <w:bookmarkStart w:id="19" w:name="_Toc21765619"/>
      <w:bookmarkStart w:id="20" w:name="_Toc19019"/>
      <w:bookmarkStart w:id="21" w:name="_Toc21612050"/>
      <w:bookmarkStart w:id="22" w:name="_Toc19614144"/>
      <w:r>
        <w:rPr>
          <w:szCs w:val="32"/>
        </w:rPr>
        <w:t>1.</w:t>
      </w:r>
      <w:r>
        <w:rPr>
          <w:szCs w:val="32"/>
        </w:rPr>
        <w:t>全省区域布局</w:t>
      </w:r>
      <w:bookmarkEnd w:id="19"/>
      <w:bookmarkEnd w:id="20"/>
      <w:bookmarkEnd w:id="21"/>
      <w:bookmarkEnd w:id="22"/>
      <w:r>
        <w:rPr>
          <w:szCs w:val="32"/>
        </w:rPr>
        <w:t>。</w:t>
      </w:r>
    </w:p>
    <w:p w:rsidR="00980D97" w:rsidRDefault="00000000">
      <w:pPr>
        <w:spacing w:line="540" w:lineRule="exact"/>
        <w:ind w:firstLineChars="200" w:firstLine="640"/>
        <w:rPr>
          <w:szCs w:val="32"/>
        </w:rPr>
      </w:pPr>
      <w:r>
        <w:rPr>
          <w:szCs w:val="32"/>
        </w:rPr>
        <w:lastRenderedPageBreak/>
        <w:t>工程中心分布在成都、绵阳、德阳、乐山、自贡等</w:t>
      </w:r>
      <w:r>
        <w:rPr>
          <w:szCs w:val="32"/>
        </w:rPr>
        <w:t>20</w:t>
      </w:r>
      <w:r>
        <w:rPr>
          <w:szCs w:val="32"/>
        </w:rPr>
        <w:t>个市（州），表现为成都一家独大的显著特征，分布在成都的工程中心数量占到了总数的一半以上，达到</w:t>
      </w:r>
      <w:r>
        <w:rPr>
          <w:szCs w:val="32"/>
        </w:rPr>
        <w:t>160</w:t>
      </w:r>
      <w:r>
        <w:rPr>
          <w:szCs w:val="32"/>
        </w:rPr>
        <w:t>家。环成都经济圈为</w:t>
      </w:r>
      <w:r>
        <w:rPr>
          <w:szCs w:val="32"/>
        </w:rPr>
        <w:t>73</w:t>
      </w:r>
      <w:r>
        <w:rPr>
          <w:szCs w:val="32"/>
        </w:rPr>
        <w:t>家，川南经济区为</w:t>
      </w:r>
      <w:r>
        <w:rPr>
          <w:szCs w:val="32"/>
        </w:rPr>
        <w:t>19</w:t>
      </w:r>
      <w:r>
        <w:rPr>
          <w:szCs w:val="32"/>
        </w:rPr>
        <w:t>家，川东北经济区</w:t>
      </w:r>
      <w:r>
        <w:rPr>
          <w:szCs w:val="32"/>
        </w:rPr>
        <w:t>10</w:t>
      </w:r>
      <w:r>
        <w:rPr>
          <w:szCs w:val="32"/>
        </w:rPr>
        <w:t>家，攀西经济区</w:t>
      </w:r>
      <w:r>
        <w:rPr>
          <w:szCs w:val="32"/>
        </w:rPr>
        <w:t>6</w:t>
      </w:r>
      <w:r>
        <w:rPr>
          <w:szCs w:val="32"/>
        </w:rPr>
        <w:t>家，川西北生态区</w:t>
      </w:r>
      <w:r>
        <w:rPr>
          <w:szCs w:val="32"/>
        </w:rPr>
        <w:t>2</w:t>
      </w:r>
      <w:r>
        <w:rPr>
          <w:szCs w:val="32"/>
        </w:rPr>
        <w:t>家。</w:t>
      </w:r>
    </w:p>
    <w:p w:rsidR="00980D97" w:rsidRDefault="00000000">
      <w:pPr>
        <w:spacing w:line="540" w:lineRule="exact"/>
        <w:ind w:firstLineChars="200" w:firstLine="640"/>
        <w:rPr>
          <w:szCs w:val="32"/>
        </w:rPr>
      </w:pPr>
      <w:bookmarkStart w:id="23" w:name="_Toc21765620"/>
      <w:bookmarkStart w:id="24" w:name="_Toc32334"/>
      <w:bookmarkStart w:id="25" w:name="_Toc21612051"/>
      <w:r>
        <w:rPr>
          <w:szCs w:val="32"/>
        </w:rPr>
        <w:t>2.</w:t>
      </w:r>
      <w:r>
        <w:rPr>
          <w:szCs w:val="32"/>
        </w:rPr>
        <w:t>依托单位布局</w:t>
      </w:r>
      <w:bookmarkEnd w:id="23"/>
      <w:bookmarkEnd w:id="24"/>
      <w:bookmarkEnd w:id="25"/>
      <w:r>
        <w:rPr>
          <w:szCs w:val="32"/>
        </w:rPr>
        <w:t>。</w:t>
      </w:r>
    </w:p>
    <w:p w:rsidR="00980D97" w:rsidRDefault="00000000">
      <w:pPr>
        <w:spacing w:line="540" w:lineRule="exact"/>
        <w:ind w:firstLineChars="200" w:firstLine="640"/>
        <w:rPr>
          <w:szCs w:val="32"/>
        </w:rPr>
      </w:pPr>
      <w:r>
        <w:rPr>
          <w:szCs w:val="32"/>
        </w:rPr>
        <w:t>工程中心主要依托省内科技实力雄厚的高新技术企业、科研机构和高等院校建设，整体结构表现为以依托企业为主、依托高校院所为辅。具体分布情况为</w:t>
      </w:r>
      <w:r>
        <w:rPr>
          <w:szCs w:val="32"/>
        </w:rPr>
        <w:t>208</w:t>
      </w:r>
      <w:r>
        <w:rPr>
          <w:szCs w:val="32"/>
        </w:rPr>
        <w:t>家工程中心依托企业建设，占比</w:t>
      </w:r>
      <w:r>
        <w:rPr>
          <w:szCs w:val="32"/>
        </w:rPr>
        <w:t>78.5%</w:t>
      </w:r>
      <w:r>
        <w:rPr>
          <w:szCs w:val="32"/>
        </w:rPr>
        <w:t>；</w:t>
      </w:r>
      <w:r>
        <w:rPr>
          <w:szCs w:val="32"/>
        </w:rPr>
        <w:t>32</w:t>
      </w:r>
      <w:r>
        <w:rPr>
          <w:szCs w:val="32"/>
        </w:rPr>
        <w:t>家工程中心依托高校建设，占比</w:t>
      </w:r>
      <w:r>
        <w:rPr>
          <w:szCs w:val="32"/>
        </w:rPr>
        <w:t>12.1%</w:t>
      </w:r>
      <w:r>
        <w:rPr>
          <w:szCs w:val="32"/>
        </w:rPr>
        <w:t>；</w:t>
      </w:r>
      <w:r>
        <w:rPr>
          <w:szCs w:val="32"/>
        </w:rPr>
        <w:t>25</w:t>
      </w:r>
      <w:r>
        <w:rPr>
          <w:szCs w:val="32"/>
        </w:rPr>
        <w:t>家工程中心依托科研院所，占比</w:t>
      </w:r>
      <w:r>
        <w:rPr>
          <w:szCs w:val="32"/>
        </w:rPr>
        <w:t>9.4%</w:t>
      </w:r>
      <w:r>
        <w:rPr>
          <w:szCs w:val="32"/>
        </w:rPr>
        <w:t>。</w:t>
      </w:r>
      <w:bookmarkStart w:id="26" w:name="_Toc4124"/>
      <w:bookmarkStart w:id="27" w:name="_Toc21765621"/>
      <w:bookmarkStart w:id="28" w:name="_Toc21612052"/>
    </w:p>
    <w:p w:rsidR="00980D97" w:rsidRDefault="00000000">
      <w:pPr>
        <w:spacing w:line="540" w:lineRule="exact"/>
        <w:ind w:firstLineChars="200" w:firstLine="640"/>
        <w:rPr>
          <w:szCs w:val="32"/>
        </w:rPr>
      </w:pPr>
      <w:r>
        <w:rPr>
          <w:szCs w:val="32"/>
        </w:rPr>
        <w:t>3.</w:t>
      </w:r>
      <w:r>
        <w:rPr>
          <w:szCs w:val="32"/>
        </w:rPr>
        <w:t>产业领域布局</w:t>
      </w:r>
      <w:bookmarkEnd w:id="26"/>
      <w:bookmarkEnd w:id="27"/>
      <w:bookmarkEnd w:id="28"/>
      <w:r>
        <w:rPr>
          <w:szCs w:val="32"/>
        </w:rPr>
        <w:t>。</w:t>
      </w:r>
    </w:p>
    <w:p w:rsidR="00980D97" w:rsidRDefault="00000000">
      <w:pPr>
        <w:spacing w:line="540" w:lineRule="exact"/>
        <w:ind w:firstLineChars="200" w:firstLine="640"/>
        <w:rPr>
          <w:szCs w:val="32"/>
        </w:rPr>
      </w:pPr>
      <w:r>
        <w:rPr>
          <w:szCs w:val="32"/>
        </w:rPr>
        <w:t>按照我省</w:t>
      </w:r>
      <w:r>
        <w:rPr>
          <w:szCs w:val="32"/>
        </w:rPr>
        <w:t>“5+1”</w:t>
      </w:r>
      <w:r>
        <w:rPr>
          <w:szCs w:val="32"/>
        </w:rPr>
        <w:t>现代工业体系划分，工程中心较为均匀地分布在</w:t>
      </w:r>
      <w:r>
        <w:rPr>
          <w:szCs w:val="32"/>
        </w:rPr>
        <w:t>5</w:t>
      </w:r>
      <w:r>
        <w:rPr>
          <w:szCs w:val="32"/>
        </w:rPr>
        <w:t>大产业中，但细分产业领域内数量差异较大，具体分布情况为电子信息领域</w:t>
      </w:r>
      <w:r>
        <w:rPr>
          <w:szCs w:val="32"/>
        </w:rPr>
        <w:t>36</w:t>
      </w:r>
      <w:r>
        <w:rPr>
          <w:szCs w:val="32"/>
        </w:rPr>
        <w:t>家，其中：集成电路与新型显示</w:t>
      </w:r>
      <w:r>
        <w:rPr>
          <w:szCs w:val="32"/>
        </w:rPr>
        <w:t>7</w:t>
      </w:r>
      <w:r>
        <w:rPr>
          <w:szCs w:val="32"/>
        </w:rPr>
        <w:t>家、新一代网络技术</w:t>
      </w:r>
      <w:r>
        <w:rPr>
          <w:szCs w:val="32"/>
        </w:rPr>
        <w:t>11</w:t>
      </w:r>
      <w:r>
        <w:rPr>
          <w:szCs w:val="32"/>
        </w:rPr>
        <w:t>家、大数据</w:t>
      </w:r>
      <w:r>
        <w:rPr>
          <w:szCs w:val="32"/>
        </w:rPr>
        <w:t>8</w:t>
      </w:r>
      <w:r>
        <w:rPr>
          <w:szCs w:val="32"/>
        </w:rPr>
        <w:t>家、软件与信息服务</w:t>
      </w:r>
      <w:r>
        <w:rPr>
          <w:szCs w:val="32"/>
        </w:rPr>
        <w:t>10</w:t>
      </w:r>
      <w:r>
        <w:rPr>
          <w:szCs w:val="32"/>
        </w:rPr>
        <w:t>家；装备制造领域</w:t>
      </w:r>
      <w:r>
        <w:rPr>
          <w:szCs w:val="32"/>
        </w:rPr>
        <w:t>54</w:t>
      </w:r>
      <w:r>
        <w:rPr>
          <w:szCs w:val="32"/>
        </w:rPr>
        <w:t>家，其中：航空与燃机</w:t>
      </w:r>
      <w:r>
        <w:rPr>
          <w:szCs w:val="32"/>
        </w:rPr>
        <w:t>9</w:t>
      </w:r>
      <w:r>
        <w:rPr>
          <w:szCs w:val="32"/>
        </w:rPr>
        <w:t>家、智能装备</w:t>
      </w:r>
      <w:r>
        <w:rPr>
          <w:szCs w:val="32"/>
        </w:rPr>
        <w:t>30</w:t>
      </w:r>
      <w:r>
        <w:rPr>
          <w:szCs w:val="32"/>
        </w:rPr>
        <w:t>家、轨道交通</w:t>
      </w:r>
      <w:r>
        <w:rPr>
          <w:szCs w:val="32"/>
        </w:rPr>
        <w:t>10</w:t>
      </w:r>
      <w:r>
        <w:rPr>
          <w:szCs w:val="32"/>
        </w:rPr>
        <w:t>家、新能源与智能汽车</w:t>
      </w:r>
      <w:r>
        <w:rPr>
          <w:szCs w:val="32"/>
        </w:rPr>
        <w:t>5</w:t>
      </w:r>
      <w:r>
        <w:rPr>
          <w:szCs w:val="32"/>
        </w:rPr>
        <w:t>家；食品饮料领域</w:t>
      </w:r>
      <w:r>
        <w:rPr>
          <w:szCs w:val="32"/>
        </w:rPr>
        <w:t>49</w:t>
      </w:r>
      <w:r>
        <w:rPr>
          <w:szCs w:val="32"/>
        </w:rPr>
        <w:t>家，其中：农产品精深加工</w:t>
      </w:r>
      <w:r>
        <w:rPr>
          <w:szCs w:val="32"/>
        </w:rPr>
        <w:t>18</w:t>
      </w:r>
      <w:r>
        <w:rPr>
          <w:szCs w:val="32"/>
        </w:rPr>
        <w:t>家、优质白酒</w:t>
      </w:r>
      <w:r>
        <w:rPr>
          <w:szCs w:val="32"/>
        </w:rPr>
        <w:t>2</w:t>
      </w:r>
      <w:r>
        <w:rPr>
          <w:szCs w:val="32"/>
        </w:rPr>
        <w:t>家、精制川茶</w:t>
      </w:r>
      <w:r>
        <w:rPr>
          <w:szCs w:val="32"/>
        </w:rPr>
        <w:t>2</w:t>
      </w:r>
      <w:r>
        <w:rPr>
          <w:szCs w:val="32"/>
        </w:rPr>
        <w:t>家、医药健康</w:t>
      </w:r>
      <w:r>
        <w:rPr>
          <w:szCs w:val="32"/>
        </w:rPr>
        <w:t>27</w:t>
      </w:r>
      <w:r>
        <w:rPr>
          <w:szCs w:val="32"/>
        </w:rPr>
        <w:t>家；先进材料领域</w:t>
      </w:r>
      <w:r>
        <w:rPr>
          <w:szCs w:val="32"/>
        </w:rPr>
        <w:t>40</w:t>
      </w:r>
      <w:r>
        <w:rPr>
          <w:szCs w:val="32"/>
        </w:rPr>
        <w:t>家；能源化工领域</w:t>
      </w:r>
      <w:r>
        <w:rPr>
          <w:szCs w:val="32"/>
        </w:rPr>
        <w:t>41</w:t>
      </w:r>
      <w:r>
        <w:rPr>
          <w:szCs w:val="32"/>
        </w:rPr>
        <w:t>家，其中：清洁能源</w:t>
      </w:r>
      <w:r>
        <w:rPr>
          <w:szCs w:val="32"/>
        </w:rPr>
        <w:t>4</w:t>
      </w:r>
      <w:r>
        <w:rPr>
          <w:szCs w:val="32"/>
        </w:rPr>
        <w:t>家、绿色化工</w:t>
      </w:r>
      <w:r>
        <w:rPr>
          <w:szCs w:val="32"/>
        </w:rPr>
        <w:t>17</w:t>
      </w:r>
      <w:r>
        <w:rPr>
          <w:szCs w:val="32"/>
        </w:rPr>
        <w:t>家、节能环保</w:t>
      </w:r>
      <w:r>
        <w:rPr>
          <w:szCs w:val="32"/>
        </w:rPr>
        <w:t>20</w:t>
      </w:r>
      <w:r>
        <w:rPr>
          <w:szCs w:val="32"/>
        </w:rPr>
        <w:t>家；其它领域</w:t>
      </w:r>
      <w:r>
        <w:rPr>
          <w:szCs w:val="32"/>
        </w:rPr>
        <w:t>45</w:t>
      </w:r>
      <w:r>
        <w:rPr>
          <w:szCs w:val="32"/>
        </w:rPr>
        <w:t>家。</w:t>
      </w:r>
    </w:p>
    <w:p w:rsidR="00980D97" w:rsidRDefault="00000000">
      <w:pPr>
        <w:spacing w:line="540" w:lineRule="exact"/>
        <w:ind w:firstLineChars="200" w:firstLine="640"/>
        <w:rPr>
          <w:rFonts w:eastAsia="楷体_GB2312"/>
          <w:szCs w:val="32"/>
        </w:rPr>
      </w:pPr>
      <w:bookmarkStart w:id="29" w:name="_Toc21765622"/>
      <w:r>
        <w:rPr>
          <w:rFonts w:eastAsia="楷体_GB2312"/>
          <w:szCs w:val="32"/>
        </w:rPr>
        <w:t>（三）存在不足</w:t>
      </w:r>
      <w:bookmarkEnd w:id="29"/>
      <w:r>
        <w:rPr>
          <w:rFonts w:eastAsia="楷体_GB2312"/>
          <w:szCs w:val="32"/>
        </w:rPr>
        <w:t>。</w:t>
      </w:r>
    </w:p>
    <w:p w:rsidR="00980D97" w:rsidRDefault="00000000">
      <w:pPr>
        <w:spacing w:line="540" w:lineRule="exact"/>
        <w:ind w:firstLineChars="200" w:firstLine="640"/>
        <w:rPr>
          <w:szCs w:val="32"/>
        </w:rPr>
      </w:pPr>
      <w:bookmarkStart w:id="30" w:name="_Toc3605"/>
      <w:bookmarkStart w:id="31" w:name="_Toc21612055"/>
      <w:bookmarkStart w:id="32" w:name="_Toc21765624"/>
      <w:r>
        <w:rPr>
          <w:szCs w:val="32"/>
        </w:rPr>
        <w:lastRenderedPageBreak/>
        <w:t>一是发展布局不够</w:t>
      </w:r>
      <w:bookmarkEnd w:id="30"/>
      <w:bookmarkEnd w:id="31"/>
      <w:bookmarkEnd w:id="32"/>
      <w:r>
        <w:rPr>
          <w:szCs w:val="32"/>
        </w:rPr>
        <w:t>合理。区域发展布局不均衡，成都占比数量占一半以上，部分科技资源较丰富的市布局数量较少；传统产业布局多，战略性新兴产业布局较少，如数字经济领域未布局；技术领域聚焦高端布局不够，同一领域工程中心低端基础技术方向多、高端先进技术少。二是建设质量不够高。突破制约产业发展共性关键核心技术攻关能力不强，承担国家、省级重点科技研发项目不多；产业关键共性技术研究、科研成果产出和转化成效不明显；行业服务能力需进一步提升；高水平创新团队、高层次技术带头人较少。三是保障支撑不够有力。奖优罚劣动态激励约束机制还不健全，针对工程中心运行管理绩效考核评估指标、评估机制需进一步完善；工程中心内部管理制度和运行机制不够健全，自我造血功能还较弱。</w:t>
      </w:r>
    </w:p>
    <w:p w:rsidR="00980D97" w:rsidRDefault="00000000">
      <w:pPr>
        <w:spacing w:line="540" w:lineRule="exact"/>
        <w:ind w:firstLineChars="200" w:firstLine="640"/>
        <w:rPr>
          <w:rFonts w:eastAsia="黑体"/>
          <w:szCs w:val="32"/>
        </w:rPr>
      </w:pPr>
      <w:bookmarkStart w:id="33" w:name="_Toc21765627"/>
      <w:r>
        <w:rPr>
          <w:rFonts w:eastAsia="黑体"/>
          <w:szCs w:val="32"/>
        </w:rPr>
        <w:t>二、总体要求</w:t>
      </w:r>
      <w:bookmarkEnd w:id="33"/>
    </w:p>
    <w:p w:rsidR="00980D97" w:rsidRDefault="00000000">
      <w:pPr>
        <w:spacing w:line="540" w:lineRule="exact"/>
        <w:ind w:firstLineChars="200" w:firstLine="640"/>
        <w:rPr>
          <w:rFonts w:eastAsia="楷体_GB2312"/>
          <w:szCs w:val="32"/>
        </w:rPr>
      </w:pPr>
      <w:bookmarkStart w:id="34" w:name="_Toc21765628"/>
      <w:r>
        <w:rPr>
          <w:rFonts w:eastAsia="楷体_GB2312"/>
          <w:szCs w:val="32"/>
        </w:rPr>
        <w:t>（一）指导思想</w:t>
      </w:r>
      <w:bookmarkEnd w:id="34"/>
      <w:r>
        <w:rPr>
          <w:rFonts w:eastAsia="楷体_GB2312"/>
          <w:szCs w:val="32"/>
        </w:rPr>
        <w:t>。</w:t>
      </w:r>
    </w:p>
    <w:p w:rsidR="00980D97" w:rsidRDefault="00000000">
      <w:pPr>
        <w:spacing w:line="540" w:lineRule="exact"/>
        <w:ind w:firstLineChars="200" w:firstLine="640"/>
        <w:rPr>
          <w:szCs w:val="32"/>
        </w:rPr>
      </w:pPr>
      <w:r>
        <w:rPr>
          <w:szCs w:val="32"/>
        </w:rPr>
        <w:t>以习近平新时代中国特色社会主义思想为指导，深入贯彻落实党的十九大精神和习近平总书记对四川工作系列重要指示精神，认真贯彻落实省委十一届三次、四次、五次、六次全会重大决策部署，深入推进实施创新驱动发展战略，支撑成渝地区打造具有全国影响力的科技创新中心，以服务区域发展战略和产业重大需求为导向，以支撑引领产业创新发展为重点，进一步优化科技资源配置，强化政策支持和引导，完善运行管理，建设一批技术实力雄厚、成果转化和行业服务能力强的高水平工程中心，支撑我省现代产业体系发展，为我省经济高质量发展培育新动能。</w:t>
      </w:r>
    </w:p>
    <w:p w:rsidR="00980D97" w:rsidRDefault="00000000">
      <w:pPr>
        <w:spacing w:line="540" w:lineRule="exact"/>
        <w:ind w:firstLineChars="200" w:firstLine="640"/>
        <w:rPr>
          <w:rFonts w:eastAsia="楷体_GB2312"/>
          <w:szCs w:val="32"/>
        </w:rPr>
      </w:pPr>
      <w:bookmarkStart w:id="35" w:name="_Toc21765629"/>
      <w:r>
        <w:rPr>
          <w:rFonts w:eastAsia="楷体_GB2312"/>
          <w:szCs w:val="32"/>
        </w:rPr>
        <w:lastRenderedPageBreak/>
        <w:t>（二）基本原则</w:t>
      </w:r>
      <w:bookmarkEnd w:id="35"/>
      <w:r>
        <w:rPr>
          <w:rFonts w:eastAsia="楷体_GB2312"/>
          <w:szCs w:val="32"/>
        </w:rPr>
        <w:t>。</w:t>
      </w:r>
    </w:p>
    <w:p w:rsidR="00980D97" w:rsidRDefault="00000000">
      <w:pPr>
        <w:spacing w:line="540" w:lineRule="exact"/>
        <w:ind w:firstLineChars="200" w:firstLine="640"/>
        <w:rPr>
          <w:szCs w:val="32"/>
        </w:rPr>
      </w:pPr>
      <w:r>
        <w:rPr>
          <w:szCs w:val="32"/>
        </w:rPr>
        <w:t>顶层设计，优化布局。加强工程中心建设的顶层设计，面向全省创新布局和构建现代产业体系需求，统筹考虑不同区域的资源禀赋和产业特色，优化区域和产业布局，着力在重点领域、优势特产业领域布局建设一批对产业引领作用强的工程中心。</w:t>
      </w:r>
    </w:p>
    <w:p w:rsidR="00980D97" w:rsidRDefault="00000000">
      <w:pPr>
        <w:spacing w:line="540" w:lineRule="exact"/>
        <w:ind w:firstLineChars="200" w:firstLine="640"/>
        <w:rPr>
          <w:szCs w:val="32"/>
        </w:rPr>
      </w:pPr>
      <w:r>
        <w:rPr>
          <w:szCs w:val="32"/>
        </w:rPr>
        <w:t>准确定位，发挥作用。围绕全省产业转型升级和科技创新战略部署，明确工程中心功能定位和工作任务，加快推进工程中心技术创新能力提升，充分发挥其在工程化技术研发、科技成果转化、行业服务、人才聚集与培养、对外交流合作等方面的作用。</w:t>
      </w:r>
    </w:p>
    <w:p w:rsidR="00980D97" w:rsidRDefault="00000000">
      <w:pPr>
        <w:spacing w:line="540" w:lineRule="exact"/>
        <w:ind w:firstLineChars="200" w:firstLine="640"/>
        <w:rPr>
          <w:szCs w:val="32"/>
        </w:rPr>
      </w:pPr>
      <w:r>
        <w:rPr>
          <w:szCs w:val="32"/>
        </w:rPr>
        <w:t>增强供给，提升质量。整合区域优势创新资源，加大工程中心建设投入力度，进一步提高建设质量，突破共性关键核心技术，提升技术转移扩散能力，形成有重大经济效益的创新产品，助力服务行业和产业发展。</w:t>
      </w:r>
    </w:p>
    <w:p w:rsidR="00980D97" w:rsidRDefault="00000000">
      <w:pPr>
        <w:spacing w:line="540" w:lineRule="exact"/>
        <w:ind w:firstLineChars="200" w:firstLine="640"/>
        <w:rPr>
          <w:szCs w:val="32"/>
        </w:rPr>
      </w:pPr>
      <w:r>
        <w:rPr>
          <w:szCs w:val="32"/>
        </w:rPr>
        <w:t>完善机制，规范运行。引入竞争激励的分级管理机制，严格认定评价程序，加强工程中心在知识产权产出、科技成果转化、行业引领带动等方面作用的考核评估，全面提升运行和管理的质量和效益，带动工程中心整体水平的提升。</w:t>
      </w:r>
    </w:p>
    <w:p w:rsidR="00980D97" w:rsidRDefault="00000000">
      <w:pPr>
        <w:spacing w:line="540" w:lineRule="exact"/>
        <w:ind w:firstLineChars="200" w:firstLine="640"/>
        <w:rPr>
          <w:rFonts w:eastAsia="楷体_GB2312"/>
          <w:szCs w:val="32"/>
        </w:rPr>
      </w:pPr>
      <w:bookmarkStart w:id="36" w:name="_Toc21765630"/>
      <w:r>
        <w:rPr>
          <w:rFonts w:eastAsia="楷体_GB2312"/>
          <w:szCs w:val="32"/>
        </w:rPr>
        <w:t>（三）建设定位</w:t>
      </w:r>
      <w:bookmarkEnd w:id="36"/>
      <w:r>
        <w:rPr>
          <w:rFonts w:eastAsia="楷体_GB2312"/>
          <w:szCs w:val="32"/>
        </w:rPr>
        <w:t>。</w:t>
      </w:r>
    </w:p>
    <w:p w:rsidR="00980D97" w:rsidRDefault="00000000">
      <w:pPr>
        <w:spacing w:line="540" w:lineRule="exact"/>
        <w:ind w:firstLineChars="200" w:firstLine="640"/>
        <w:rPr>
          <w:szCs w:val="32"/>
        </w:rPr>
      </w:pPr>
      <w:r>
        <w:rPr>
          <w:szCs w:val="32"/>
        </w:rPr>
        <w:t>工程中心是四川省科技创新体系的重要组成部分，是推动行业技术进步的重要创新载体，主要依托高新技术企业、科研机构和高等院校建设，充分发挥其在行业优势资源，聚焦行业服务，加强工程技术创新，培育创新人才和团队，着力突破共性关键核心技术，发挥先进典型示范引领作用，提高科技成果的成熟性、</w:t>
      </w:r>
      <w:r>
        <w:rPr>
          <w:szCs w:val="32"/>
        </w:rPr>
        <w:lastRenderedPageBreak/>
        <w:t>配套性和工程化水平，扎实开展对外交流合作，加快工程技术成果的转移、辐射和扩散，真正成为企业科技创新的带动者，行业技术进步的引领者，产学研协同创新的推动者，持续推动我省传统产业转型升级和现代产业高质量发展。</w:t>
      </w:r>
    </w:p>
    <w:p w:rsidR="00980D97" w:rsidRDefault="00000000">
      <w:pPr>
        <w:spacing w:line="540" w:lineRule="exact"/>
        <w:ind w:firstLineChars="200" w:firstLine="640"/>
        <w:rPr>
          <w:rFonts w:eastAsia="楷体_GB2312"/>
          <w:szCs w:val="32"/>
        </w:rPr>
      </w:pPr>
      <w:bookmarkStart w:id="37" w:name="_Toc21765631"/>
      <w:r>
        <w:rPr>
          <w:rFonts w:eastAsia="楷体_GB2312"/>
          <w:szCs w:val="32"/>
        </w:rPr>
        <w:t>（四）发展目标</w:t>
      </w:r>
      <w:bookmarkEnd w:id="37"/>
      <w:r>
        <w:rPr>
          <w:rFonts w:eastAsia="楷体_GB2312"/>
          <w:szCs w:val="32"/>
        </w:rPr>
        <w:t>。</w:t>
      </w:r>
    </w:p>
    <w:p w:rsidR="00980D97" w:rsidRDefault="00000000">
      <w:pPr>
        <w:spacing w:line="540" w:lineRule="exact"/>
        <w:ind w:firstLineChars="200" w:firstLine="640"/>
        <w:rPr>
          <w:szCs w:val="32"/>
        </w:rPr>
      </w:pPr>
      <w:r>
        <w:rPr>
          <w:szCs w:val="32"/>
        </w:rPr>
        <w:t>到</w:t>
      </w:r>
      <w:r>
        <w:rPr>
          <w:szCs w:val="32"/>
        </w:rPr>
        <w:t>2025</w:t>
      </w:r>
      <w:r>
        <w:rPr>
          <w:szCs w:val="32"/>
        </w:rPr>
        <w:t>年，规划和建设一批创新能力强、转化效果好、行业服务优、产业带动作用大的高水平工程中心，使工程中心成为我省促进人才、项目、平台高效融合的创新载体和集聚高水平技术创新、成果转化与产业化的重要基地。</w:t>
      </w:r>
    </w:p>
    <w:p w:rsidR="00980D97" w:rsidRDefault="00000000">
      <w:pPr>
        <w:spacing w:line="540" w:lineRule="exact"/>
        <w:ind w:firstLineChars="200" w:firstLine="640"/>
        <w:rPr>
          <w:szCs w:val="32"/>
        </w:rPr>
      </w:pPr>
      <w:r>
        <w:rPr>
          <w:szCs w:val="32"/>
        </w:rPr>
        <w:t>规模结构不断优化。建成一批技术实力雄厚、行业服务能力强的工程中心，实现在全省</w:t>
      </w:r>
      <w:r>
        <w:rPr>
          <w:szCs w:val="32"/>
        </w:rPr>
        <w:t>“5+1”</w:t>
      </w:r>
      <w:r>
        <w:rPr>
          <w:szCs w:val="32"/>
        </w:rPr>
        <w:t>现代工业领域、</w:t>
      </w:r>
      <w:r>
        <w:rPr>
          <w:szCs w:val="32"/>
        </w:rPr>
        <w:t xml:space="preserve"> “10+3” </w:t>
      </w:r>
      <w:r>
        <w:rPr>
          <w:szCs w:val="32"/>
        </w:rPr>
        <w:t>现代农业领域、</w:t>
      </w:r>
      <w:r>
        <w:rPr>
          <w:szCs w:val="32"/>
        </w:rPr>
        <w:t>“4+6”</w:t>
      </w:r>
      <w:r>
        <w:rPr>
          <w:szCs w:val="32"/>
        </w:rPr>
        <w:t>现代服务业领域和</w:t>
      </w:r>
      <w:r>
        <w:rPr>
          <w:szCs w:val="32"/>
        </w:rPr>
        <w:t>21</w:t>
      </w:r>
      <w:r>
        <w:rPr>
          <w:szCs w:val="32"/>
        </w:rPr>
        <w:t>个市（州）科学合理布局，新增工程中心</w:t>
      </w:r>
      <w:r>
        <w:rPr>
          <w:szCs w:val="32"/>
        </w:rPr>
        <w:t>200</w:t>
      </w:r>
      <w:r>
        <w:rPr>
          <w:szCs w:val="32"/>
        </w:rPr>
        <w:t>家左右，建设高质量示范工程中心</w:t>
      </w:r>
      <w:r>
        <w:rPr>
          <w:szCs w:val="32"/>
        </w:rPr>
        <w:t>50</w:t>
      </w:r>
      <w:r>
        <w:rPr>
          <w:szCs w:val="32"/>
        </w:rPr>
        <w:t>家，力争全省工程中心达到</w:t>
      </w:r>
      <w:r>
        <w:rPr>
          <w:szCs w:val="32"/>
        </w:rPr>
        <w:t>500</w:t>
      </w:r>
      <w:r>
        <w:rPr>
          <w:szCs w:val="32"/>
        </w:rPr>
        <w:t>家左右。</w:t>
      </w:r>
    </w:p>
    <w:p w:rsidR="00980D97" w:rsidRDefault="00000000">
      <w:pPr>
        <w:spacing w:line="540" w:lineRule="exact"/>
        <w:ind w:firstLineChars="200" w:firstLine="640"/>
        <w:rPr>
          <w:szCs w:val="32"/>
        </w:rPr>
      </w:pPr>
      <w:r>
        <w:rPr>
          <w:szCs w:val="32"/>
        </w:rPr>
        <w:t>创新能力显著提升。支撑产业发展的技术创新能力不断增强，每年培育和引进</w:t>
      </w:r>
      <w:r>
        <w:rPr>
          <w:szCs w:val="32"/>
        </w:rPr>
        <w:t>3-5</w:t>
      </w:r>
      <w:r>
        <w:rPr>
          <w:szCs w:val="32"/>
        </w:rPr>
        <w:t>支高水平创新团队和</w:t>
      </w:r>
      <w:r>
        <w:rPr>
          <w:szCs w:val="32"/>
        </w:rPr>
        <w:t>4-6</w:t>
      </w:r>
      <w:r>
        <w:rPr>
          <w:szCs w:val="32"/>
        </w:rPr>
        <w:t>个省级以上学术技术带头人，力争突破共性关键核心技术</w:t>
      </w:r>
      <w:r>
        <w:rPr>
          <w:szCs w:val="32"/>
        </w:rPr>
        <w:t>200</w:t>
      </w:r>
      <w:r>
        <w:rPr>
          <w:szCs w:val="32"/>
        </w:rPr>
        <w:t>项以上，行业和产业技术辐射能力进一步增强，成为我省科技创新与技术进步的重要源头。</w:t>
      </w:r>
    </w:p>
    <w:p w:rsidR="00980D97" w:rsidRDefault="00000000">
      <w:pPr>
        <w:spacing w:line="540" w:lineRule="exact"/>
        <w:ind w:firstLineChars="200" w:firstLine="640"/>
        <w:rPr>
          <w:szCs w:val="32"/>
        </w:rPr>
      </w:pPr>
      <w:r>
        <w:rPr>
          <w:szCs w:val="32"/>
        </w:rPr>
        <w:t>成果转化取得实效。创新转化效率不断提高，形成工程中心技术转移转化服务体系，打造一批孵化转化服务平台和载体，每年转化科技成果</w:t>
      </w:r>
      <w:r>
        <w:rPr>
          <w:szCs w:val="32"/>
        </w:rPr>
        <w:t>300</w:t>
      </w:r>
      <w:r>
        <w:rPr>
          <w:szCs w:val="32"/>
        </w:rPr>
        <w:t>项以上，带动实现产值</w:t>
      </w:r>
      <w:r>
        <w:rPr>
          <w:szCs w:val="32"/>
        </w:rPr>
        <w:t>500</w:t>
      </w:r>
      <w:r>
        <w:rPr>
          <w:szCs w:val="32"/>
        </w:rPr>
        <w:t>亿元以上。</w:t>
      </w:r>
    </w:p>
    <w:p w:rsidR="00980D97" w:rsidRDefault="00000000">
      <w:pPr>
        <w:spacing w:line="540" w:lineRule="exact"/>
        <w:ind w:firstLineChars="200" w:firstLine="640"/>
        <w:rPr>
          <w:szCs w:val="32"/>
        </w:rPr>
      </w:pPr>
      <w:r>
        <w:rPr>
          <w:szCs w:val="32"/>
        </w:rPr>
        <w:lastRenderedPageBreak/>
        <w:t>功能作用充分凸显。工程中心建设质量进一步提升，每年建设高质量示范工程中心</w:t>
      </w:r>
      <w:r>
        <w:rPr>
          <w:szCs w:val="32"/>
        </w:rPr>
        <w:t>10</w:t>
      </w:r>
      <w:r>
        <w:rPr>
          <w:szCs w:val="32"/>
        </w:rPr>
        <w:t>家左右，在技术创新、成果转化、人才培养、行业服务、对外合作交流等方面作用充分发挥，行业带动效应更加凸显，在技术领域、产业领域对产业发展引领作用显著，行业（领域）企业服务的成功经验丰富，开放性高。</w:t>
      </w:r>
    </w:p>
    <w:p w:rsidR="00980D97" w:rsidRDefault="00000000">
      <w:pPr>
        <w:spacing w:line="540" w:lineRule="exact"/>
        <w:ind w:firstLineChars="200" w:firstLine="640"/>
        <w:rPr>
          <w:szCs w:val="32"/>
        </w:rPr>
      </w:pPr>
      <w:r>
        <w:rPr>
          <w:szCs w:val="32"/>
        </w:rPr>
        <w:t>体制机制健全完善。积极探索形成健全完善的组织管理体系、运行管理制度和有效激励、衔接配套的政策体系，管理部门、依托单位和工程中心自身功能作用充分发挥，在全国、全省形成创新发展示范。</w:t>
      </w:r>
    </w:p>
    <w:p w:rsidR="00980D97" w:rsidRDefault="00000000">
      <w:pPr>
        <w:spacing w:line="540" w:lineRule="exact"/>
        <w:ind w:firstLineChars="200" w:firstLine="640"/>
        <w:rPr>
          <w:rFonts w:eastAsia="黑体"/>
          <w:szCs w:val="32"/>
        </w:rPr>
      </w:pPr>
      <w:bookmarkStart w:id="38" w:name="_Toc21765632"/>
      <w:r>
        <w:rPr>
          <w:rFonts w:eastAsia="黑体"/>
          <w:szCs w:val="32"/>
        </w:rPr>
        <w:t>三、重点任务</w:t>
      </w:r>
      <w:bookmarkEnd w:id="38"/>
    </w:p>
    <w:p w:rsidR="00980D97" w:rsidRDefault="00000000">
      <w:pPr>
        <w:spacing w:line="540" w:lineRule="exact"/>
        <w:ind w:firstLineChars="200" w:firstLine="640"/>
        <w:rPr>
          <w:rFonts w:eastAsia="楷体_GB2312"/>
          <w:szCs w:val="32"/>
        </w:rPr>
      </w:pPr>
      <w:bookmarkStart w:id="39" w:name="_Toc21765633"/>
      <w:r>
        <w:rPr>
          <w:rFonts w:eastAsia="楷体_GB2312"/>
          <w:szCs w:val="32"/>
        </w:rPr>
        <w:t>（一）优化建设布局</w:t>
      </w:r>
      <w:bookmarkEnd w:id="39"/>
      <w:r>
        <w:rPr>
          <w:rFonts w:eastAsia="楷体_GB2312"/>
          <w:szCs w:val="32"/>
        </w:rPr>
        <w:t>。</w:t>
      </w:r>
    </w:p>
    <w:p w:rsidR="00980D97" w:rsidRDefault="00000000">
      <w:pPr>
        <w:spacing w:line="540" w:lineRule="exact"/>
        <w:ind w:firstLineChars="200" w:firstLine="640"/>
        <w:rPr>
          <w:szCs w:val="32"/>
        </w:rPr>
      </w:pPr>
      <w:bookmarkStart w:id="40" w:name="_Toc21765634"/>
      <w:r>
        <w:rPr>
          <w:szCs w:val="32"/>
        </w:rPr>
        <w:t>1.</w:t>
      </w:r>
      <w:r>
        <w:rPr>
          <w:szCs w:val="32"/>
        </w:rPr>
        <w:t>优化区域布局</w:t>
      </w:r>
      <w:bookmarkEnd w:id="40"/>
      <w:r>
        <w:rPr>
          <w:szCs w:val="32"/>
        </w:rPr>
        <w:t>。</w:t>
      </w:r>
    </w:p>
    <w:p w:rsidR="00980D97" w:rsidRDefault="00000000">
      <w:pPr>
        <w:spacing w:line="540" w:lineRule="exact"/>
        <w:ind w:firstLineChars="200" w:firstLine="640"/>
        <w:rPr>
          <w:szCs w:val="32"/>
        </w:rPr>
      </w:pPr>
      <w:bookmarkStart w:id="41" w:name="_Toc20429181"/>
      <w:r>
        <w:rPr>
          <w:szCs w:val="32"/>
        </w:rPr>
        <w:t>（</w:t>
      </w:r>
      <w:r>
        <w:rPr>
          <w:szCs w:val="32"/>
        </w:rPr>
        <w:t>1</w:t>
      </w:r>
      <w:r>
        <w:rPr>
          <w:szCs w:val="32"/>
        </w:rPr>
        <w:t>）成都市</w:t>
      </w:r>
      <w:bookmarkStart w:id="42" w:name="_Toc20429182"/>
      <w:bookmarkEnd w:id="41"/>
    </w:p>
    <w:p w:rsidR="00980D97" w:rsidRDefault="00000000">
      <w:pPr>
        <w:spacing w:line="540" w:lineRule="exact"/>
        <w:ind w:firstLineChars="200" w:firstLine="640"/>
        <w:rPr>
          <w:szCs w:val="32"/>
        </w:rPr>
      </w:pPr>
      <w:r>
        <w:rPr>
          <w:szCs w:val="32"/>
        </w:rPr>
        <w:t>重点在集成电路、新型显示、信息安全、软件与信息服务、智能终端、清洁能源、新一代网络技术、大数据、人工智能、虚拟现实、新能源与智能汽车、轨道交通、航空航天、智能装备、先进材料、农产品精深加工、医药健康、医疗设备及器械、数字经济、现代农业、现代服务业等产业领域布局。</w:t>
      </w:r>
    </w:p>
    <w:p w:rsidR="00980D97" w:rsidRDefault="00000000">
      <w:pPr>
        <w:spacing w:line="540" w:lineRule="exact"/>
        <w:ind w:firstLineChars="200" w:firstLine="640"/>
        <w:rPr>
          <w:szCs w:val="32"/>
        </w:rPr>
      </w:pPr>
      <w:r>
        <w:rPr>
          <w:szCs w:val="32"/>
        </w:rPr>
        <w:t>（</w:t>
      </w:r>
      <w:r>
        <w:rPr>
          <w:szCs w:val="32"/>
        </w:rPr>
        <w:t>2</w:t>
      </w:r>
      <w:r>
        <w:rPr>
          <w:szCs w:val="32"/>
        </w:rPr>
        <w:t>）环成都经济圈</w:t>
      </w:r>
      <w:bookmarkEnd w:id="42"/>
    </w:p>
    <w:p w:rsidR="00980D97" w:rsidRDefault="00000000">
      <w:pPr>
        <w:spacing w:line="540" w:lineRule="exact"/>
        <w:ind w:firstLineChars="200" w:firstLine="640"/>
        <w:rPr>
          <w:szCs w:val="32"/>
        </w:rPr>
      </w:pPr>
      <w:r>
        <w:rPr>
          <w:szCs w:val="32"/>
        </w:rPr>
        <w:t>重点在高端装备制造、新能源与智能汽车、智能装备、航空与燃机、轨道交通、口腔装备及材料、机械零部件、新型显示、集成电路、软件与信息服务、新一代网络技术、电子元器件、智能终端、大数据、医药制剂、先进材料、硫磷钛化工、精细化工、</w:t>
      </w:r>
      <w:r>
        <w:rPr>
          <w:szCs w:val="32"/>
        </w:rPr>
        <w:lastRenderedPageBreak/>
        <w:t>盐卤化工、天然气化工、日用化工、农产品精深加工、现代种业、数字农业、智能农机、数字经济、现代服务业</w:t>
      </w:r>
      <w:bookmarkStart w:id="43" w:name="_Toc20429183"/>
      <w:r>
        <w:rPr>
          <w:szCs w:val="32"/>
        </w:rPr>
        <w:t>等产业领域布局。</w:t>
      </w:r>
    </w:p>
    <w:p w:rsidR="00980D97" w:rsidRDefault="00000000">
      <w:pPr>
        <w:spacing w:line="540" w:lineRule="exact"/>
        <w:ind w:firstLineChars="200" w:firstLine="640"/>
        <w:rPr>
          <w:szCs w:val="32"/>
        </w:rPr>
      </w:pPr>
      <w:r>
        <w:rPr>
          <w:szCs w:val="32"/>
        </w:rPr>
        <w:t>（</w:t>
      </w:r>
      <w:r>
        <w:rPr>
          <w:szCs w:val="32"/>
        </w:rPr>
        <w:t>3</w:t>
      </w:r>
      <w:r>
        <w:rPr>
          <w:szCs w:val="32"/>
        </w:rPr>
        <w:t>）川南经济区</w:t>
      </w:r>
      <w:bookmarkEnd w:id="43"/>
    </w:p>
    <w:p w:rsidR="00980D97" w:rsidRDefault="00000000">
      <w:pPr>
        <w:spacing w:line="540" w:lineRule="exact"/>
        <w:ind w:firstLineChars="200" w:firstLine="640"/>
        <w:rPr>
          <w:szCs w:val="32"/>
        </w:rPr>
      </w:pPr>
      <w:r>
        <w:rPr>
          <w:szCs w:val="32"/>
        </w:rPr>
        <w:t>重点在盐化工、先进材料、高端建材、轨道交通、航空航天与燃机、新能源与智能汽车、汽车零部件、工程机械、节能环保、电力装备、医疗设备及器械、智能终端、电子元器件、大数据、北斗应用、信息安全、精制川茶、优质白酒、医药制剂、优势特色农业、现代服务业、数字经济等产业领域布局。</w:t>
      </w:r>
    </w:p>
    <w:p w:rsidR="00980D97" w:rsidRDefault="00000000">
      <w:pPr>
        <w:spacing w:line="540" w:lineRule="exact"/>
        <w:ind w:firstLineChars="200" w:firstLine="640"/>
        <w:rPr>
          <w:szCs w:val="32"/>
        </w:rPr>
      </w:pPr>
      <w:bookmarkStart w:id="44" w:name="_Toc20429184"/>
      <w:r>
        <w:rPr>
          <w:szCs w:val="32"/>
        </w:rPr>
        <w:t>（</w:t>
      </w:r>
      <w:r>
        <w:rPr>
          <w:szCs w:val="32"/>
        </w:rPr>
        <w:t>4</w:t>
      </w:r>
      <w:r>
        <w:rPr>
          <w:szCs w:val="32"/>
        </w:rPr>
        <w:t>）川东北经济区</w:t>
      </w:r>
      <w:bookmarkEnd w:id="44"/>
    </w:p>
    <w:p w:rsidR="00980D97" w:rsidRDefault="00000000">
      <w:pPr>
        <w:spacing w:line="540" w:lineRule="exact"/>
        <w:ind w:firstLineChars="200" w:firstLine="640"/>
        <w:rPr>
          <w:szCs w:val="32"/>
        </w:rPr>
      </w:pPr>
      <w:r>
        <w:rPr>
          <w:szCs w:val="32"/>
        </w:rPr>
        <w:t>重点在农产品精深加工、优势特色农业、现代种业、先进材料、汽车零部件、新能源与智能汽车、精密零部件、农机装备、轨道交通、新型建材、绿色家具、纺织与服装生产、电子元器件、智能终端、软件与信息服务、石油化工、精细化工、化工新材料、盐化工、天然气化工、锂钾化工、医药制剂、现代服务业、数字经济等产业领域布局。</w:t>
      </w:r>
    </w:p>
    <w:p w:rsidR="00980D97" w:rsidRDefault="00000000">
      <w:pPr>
        <w:spacing w:line="540" w:lineRule="exact"/>
        <w:ind w:firstLineChars="200" w:firstLine="640"/>
        <w:rPr>
          <w:szCs w:val="32"/>
        </w:rPr>
      </w:pPr>
      <w:bookmarkStart w:id="45" w:name="_Toc20429185"/>
      <w:r>
        <w:rPr>
          <w:szCs w:val="32"/>
        </w:rPr>
        <w:t>（</w:t>
      </w:r>
      <w:r>
        <w:rPr>
          <w:szCs w:val="32"/>
        </w:rPr>
        <w:t>5</w:t>
      </w:r>
      <w:r>
        <w:rPr>
          <w:szCs w:val="32"/>
        </w:rPr>
        <w:t>）攀西经济区</w:t>
      </w:r>
      <w:bookmarkEnd w:id="45"/>
    </w:p>
    <w:p w:rsidR="00980D97" w:rsidRDefault="00000000">
      <w:pPr>
        <w:spacing w:line="540" w:lineRule="exact"/>
        <w:ind w:firstLineChars="200" w:firstLine="640"/>
        <w:rPr>
          <w:szCs w:val="32"/>
        </w:rPr>
      </w:pPr>
      <w:r>
        <w:rPr>
          <w:szCs w:val="32"/>
        </w:rPr>
        <w:t>重点在钒钛钢铁材料、石墨及碳基材料、稀贵金属材料、稀土材料、有色金属材料、能源化工、优势特色农业、医药制剂、工程与矿山冶金装备、轨道交通、节能环保装备、医疗康复器、现代服务业、数字经济等产业领域布局。</w:t>
      </w:r>
    </w:p>
    <w:p w:rsidR="00980D97" w:rsidRDefault="00000000">
      <w:pPr>
        <w:spacing w:line="540" w:lineRule="exact"/>
        <w:ind w:firstLineChars="200" w:firstLine="640"/>
        <w:rPr>
          <w:szCs w:val="32"/>
        </w:rPr>
      </w:pPr>
      <w:r>
        <w:rPr>
          <w:szCs w:val="32"/>
        </w:rPr>
        <w:t>（</w:t>
      </w:r>
      <w:r>
        <w:rPr>
          <w:szCs w:val="32"/>
        </w:rPr>
        <w:t>6</w:t>
      </w:r>
      <w:r>
        <w:rPr>
          <w:szCs w:val="32"/>
        </w:rPr>
        <w:t>）川西北生态示范区</w:t>
      </w:r>
    </w:p>
    <w:p w:rsidR="00980D97" w:rsidRDefault="00000000">
      <w:pPr>
        <w:spacing w:line="540" w:lineRule="exact"/>
        <w:ind w:firstLineChars="200" w:firstLine="640"/>
        <w:rPr>
          <w:szCs w:val="32"/>
        </w:rPr>
      </w:pPr>
      <w:r>
        <w:rPr>
          <w:szCs w:val="32"/>
        </w:rPr>
        <w:t>重点在能源化工、特色农业、中藏药材、民族工艺品、现代服务业、数字经济等产业领域布局。</w:t>
      </w:r>
    </w:p>
    <w:p w:rsidR="00980D97" w:rsidRDefault="00000000">
      <w:pPr>
        <w:spacing w:line="540" w:lineRule="exact"/>
        <w:ind w:firstLineChars="200" w:firstLine="640"/>
        <w:rPr>
          <w:szCs w:val="32"/>
        </w:rPr>
      </w:pPr>
      <w:r>
        <w:rPr>
          <w:szCs w:val="32"/>
        </w:rPr>
        <w:lastRenderedPageBreak/>
        <w:t>（</w:t>
      </w:r>
      <w:r>
        <w:rPr>
          <w:szCs w:val="32"/>
        </w:rPr>
        <w:t>7</w:t>
      </w:r>
      <w:r>
        <w:rPr>
          <w:szCs w:val="32"/>
        </w:rPr>
        <w:t>）</w:t>
      </w:r>
      <w:bookmarkStart w:id="46" w:name="_Toc21765635"/>
      <w:r>
        <w:rPr>
          <w:szCs w:val="32"/>
        </w:rPr>
        <w:t>成渝地区双城经济圈</w:t>
      </w:r>
    </w:p>
    <w:p w:rsidR="00980D97" w:rsidRDefault="00000000">
      <w:pPr>
        <w:spacing w:line="540" w:lineRule="exact"/>
        <w:ind w:firstLineChars="200" w:firstLine="640"/>
        <w:rPr>
          <w:szCs w:val="32"/>
        </w:rPr>
      </w:pPr>
      <w:r>
        <w:rPr>
          <w:szCs w:val="32"/>
        </w:rPr>
        <w:t>按照成渝科技创新合作发展计划，推进区域协同创新，重点在新一代信息技术、航空航天、先进制造、仪器仪表、生物医药、新能源、新材料、资源环境、现代农业等方向领域布局。</w:t>
      </w:r>
    </w:p>
    <w:p w:rsidR="00980D97" w:rsidRDefault="00000000">
      <w:pPr>
        <w:spacing w:line="540" w:lineRule="exact"/>
        <w:ind w:firstLineChars="200" w:firstLine="640"/>
        <w:rPr>
          <w:szCs w:val="32"/>
        </w:rPr>
      </w:pPr>
      <w:r>
        <w:rPr>
          <w:szCs w:val="32"/>
        </w:rPr>
        <w:t>2.</w:t>
      </w:r>
      <w:r>
        <w:rPr>
          <w:szCs w:val="32"/>
        </w:rPr>
        <w:t>优化产业布局</w:t>
      </w:r>
      <w:bookmarkEnd w:id="46"/>
      <w:r>
        <w:rPr>
          <w:szCs w:val="32"/>
        </w:rPr>
        <w:t>。</w:t>
      </w:r>
    </w:p>
    <w:p w:rsidR="00980D97" w:rsidRDefault="00000000">
      <w:pPr>
        <w:spacing w:line="540" w:lineRule="exact"/>
        <w:ind w:firstLineChars="200" w:firstLine="640"/>
        <w:rPr>
          <w:szCs w:val="32"/>
        </w:rPr>
      </w:pPr>
      <w:r>
        <w:rPr>
          <w:szCs w:val="32"/>
        </w:rPr>
        <w:t>（</w:t>
      </w:r>
      <w:r>
        <w:rPr>
          <w:szCs w:val="32"/>
        </w:rPr>
        <w:t>1</w:t>
      </w:r>
      <w:r>
        <w:rPr>
          <w:szCs w:val="32"/>
        </w:rPr>
        <w:t>）电子信息</w:t>
      </w:r>
    </w:p>
    <w:p w:rsidR="00980D97" w:rsidRDefault="00000000">
      <w:pPr>
        <w:spacing w:line="540" w:lineRule="exact"/>
        <w:ind w:firstLineChars="200" w:firstLine="640"/>
        <w:rPr>
          <w:szCs w:val="32"/>
        </w:rPr>
      </w:pPr>
      <w:r>
        <w:rPr>
          <w:szCs w:val="32"/>
        </w:rPr>
        <w:t>集成电路与新型显示。重点在射频通信芯片、化合物半导体、超高清视频芯片、信息安全芯片、人工智能芯片、集成电路先进封测、新型显示等方向布局。</w:t>
      </w:r>
    </w:p>
    <w:p w:rsidR="00980D97" w:rsidRDefault="00000000">
      <w:pPr>
        <w:spacing w:line="540" w:lineRule="exact"/>
        <w:ind w:firstLineChars="200" w:firstLine="640"/>
        <w:rPr>
          <w:szCs w:val="32"/>
        </w:rPr>
      </w:pPr>
      <w:r>
        <w:rPr>
          <w:szCs w:val="32"/>
        </w:rPr>
        <w:t>新一代网络技术。重点在</w:t>
      </w:r>
      <w:r>
        <w:rPr>
          <w:szCs w:val="32"/>
        </w:rPr>
        <w:t>5G</w:t>
      </w:r>
      <w:r>
        <w:rPr>
          <w:szCs w:val="32"/>
        </w:rPr>
        <w:t>通信技术、高清视频、北斗导航、网络安全、物联网等方向布局。</w:t>
      </w:r>
    </w:p>
    <w:p w:rsidR="00980D97" w:rsidRDefault="00000000">
      <w:pPr>
        <w:spacing w:line="540" w:lineRule="exact"/>
        <w:ind w:firstLineChars="200" w:firstLine="640"/>
        <w:rPr>
          <w:szCs w:val="32"/>
        </w:rPr>
      </w:pPr>
      <w:r>
        <w:rPr>
          <w:szCs w:val="32"/>
        </w:rPr>
        <w:t>大数据。重点在数据汇聚与融合、数据存储与管理、数据处理与建模、数据挖掘与分析、数据安全与保障、数据交易与共享等方向布局。</w:t>
      </w:r>
    </w:p>
    <w:p w:rsidR="00980D97" w:rsidRDefault="00000000">
      <w:pPr>
        <w:spacing w:line="540" w:lineRule="exact"/>
        <w:ind w:firstLineChars="200" w:firstLine="640"/>
        <w:rPr>
          <w:szCs w:val="32"/>
        </w:rPr>
      </w:pPr>
      <w:r>
        <w:rPr>
          <w:szCs w:val="32"/>
        </w:rPr>
        <w:t>软件与信息服务。重点在基础软件、工业软件与服务、嵌入式软件、自主可控软件与服务、信息安全软件与服务、行业软件与服务、新一代人工智能、云计算等方向布局。</w:t>
      </w:r>
    </w:p>
    <w:p w:rsidR="00980D97" w:rsidRDefault="00000000">
      <w:pPr>
        <w:spacing w:line="540" w:lineRule="exact"/>
        <w:ind w:firstLineChars="200" w:firstLine="640"/>
        <w:rPr>
          <w:szCs w:val="32"/>
        </w:rPr>
      </w:pPr>
      <w:r>
        <w:rPr>
          <w:szCs w:val="32"/>
        </w:rPr>
        <w:t>（</w:t>
      </w:r>
      <w:r>
        <w:rPr>
          <w:szCs w:val="32"/>
        </w:rPr>
        <w:t>2</w:t>
      </w:r>
      <w:r>
        <w:rPr>
          <w:szCs w:val="32"/>
        </w:rPr>
        <w:t>）装备制造</w:t>
      </w:r>
    </w:p>
    <w:p w:rsidR="00980D97" w:rsidRDefault="00000000">
      <w:pPr>
        <w:spacing w:line="540" w:lineRule="exact"/>
        <w:ind w:firstLineChars="200" w:firstLine="640"/>
        <w:rPr>
          <w:szCs w:val="32"/>
        </w:rPr>
      </w:pPr>
      <w:r>
        <w:rPr>
          <w:szCs w:val="32"/>
        </w:rPr>
        <w:t>航空与燃机。重点在航空大部件制造、航空发动机与燃气轮机、航空电子、航空维修、民用航空、无人机等方向布局。</w:t>
      </w:r>
    </w:p>
    <w:p w:rsidR="00980D97" w:rsidRDefault="00000000">
      <w:pPr>
        <w:spacing w:line="540" w:lineRule="exact"/>
        <w:ind w:firstLineChars="200" w:firstLine="640"/>
        <w:rPr>
          <w:szCs w:val="32"/>
        </w:rPr>
      </w:pPr>
      <w:r>
        <w:rPr>
          <w:szCs w:val="32"/>
        </w:rPr>
        <w:t>智能装备。重点在高端制造装备、智能机器人、增材制造装备、智能传感与控制装备、智能检测与装配装备、智能装备关键零部件等方向布局。</w:t>
      </w:r>
    </w:p>
    <w:p w:rsidR="00980D97" w:rsidRDefault="00000000">
      <w:pPr>
        <w:spacing w:line="540" w:lineRule="exact"/>
        <w:ind w:firstLineChars="200" w:firstLine="640"/>
        <w:rPr>
          <w:szCs w:val="32"/>
        </w:rPr>
      </w:pPr>
      <w:r>
        <w:rPr>
          <w:szCs w:val="32"/>
        </w:rPr>
        <w:lastRenderedPageBreak/>
        <w:t>轨道交通。重点在川藏铁路、新制式轨道交通、铁路装备、城市轨道交通等方向布局。</w:t>
      </w:r>
    </w:p>
    <w:p w:rsidR="00980D97" w:rsidRDefault="00000000">
      <w:pPr>
        <w:spacing w:line="540" w:lineRule="exact"/>
        <w:ind w:firstLineChars="200" w:firstLine="640"/>
        <w:rPr>
          <w:szCs w:val="32"/>
        </w:rPr>
      </w:pPr>
      <w:r>
        <w:rPr>
          <w:szCs w:val="32"/>
        </w:rPr>
        <w:t>新能源与智能汽车。重点在新能源汽车、智能网联汽车、相关基础设施建设等方向布局。</w:t>
      </w:r>
    </w:p>
    <w:p w:rsidR="00980D97" w:rsidRDefault="00000000">
      <w:pPr>
        <w:spacing w:line="540" w:lineRule="exact"/>
        <w:ind w:firstLineChars="200" w:firstLine="640"/>
        <w:rPr>
          <w:szCs w:val="32"/>
        </w:rPr>
      </w:pPr>
      <w:r>
        <w:rPr>
          <w:szCs w:val="32"/>
        </w:rPr>
        <w:t>（</w:t>
      </w:r>
      <w:r>
        <w:rPr>
          <w:szCs w:val="32"/>
        </w:rPr>
        <w:t>3</w:t>
      </w:r>
      <w:r>
        <w:rPr>
          <w:szCs w:val="32"/>
        </w:rPr>
        <w:t>）食品饮料</w:t>
      </w:r>
    </w:p>
    <w:p w:rsidR="00980D97" w:rsidRDefault="00000000">
      <w:pPr>
        <w:spacing w:line="540" w:lineRule="exact"/>
        <w:ind w:firstLineChars="200" w:firstLine="640"/>
        <w:rPr>
          <w:szCs w:val="32"/>
        </w:rPr>
      </w:pPr>
      <w:r>
        <w:rPr>
          <w:szCs w:val="32"/>
        </w:rPr>
        <w:t>农产品精深加工。重点在粮食加工、食用油加工、肉制品加工、奶制品加工、调味品加工、水果加工、蔬菜加工、林竹食品加工、方便食品加工、包装饮用水加工等方向布局。</w:t>
      </w:r>
    </w:p>
    <w:p w:rsidR="00980D97" w:rsidRDefault="00000000">
      <w:pPr>
        <w:spacing w:line="540" w:lineRule="exact"/>
        <w:ind w:firstLineChars="200" w:firstLine="640"/>
        <w:rPr>
          <w:szCs w:val="32"/>
        </w:rPr>
      </w:pPr>
      <w:r>
        <w:rPr>
          <w:szCs w:val="32"/>
        </w:rPr>
        <w:t>优质白酒。重点在酿酒专用原料品种的选育与标准化种植、智能化酿酒、白酒绿色生态制造、白酒产业信息化技术等方向布局。</w:t>
      </w:r>
    </w:p>
    <w:p w:rsidR="00980D97" w:rsidRDefault="00000000">
      <w:pPr>
        <w:spacing w:line="540" w:lineRule="exact"/>
        <w:ind w:firstLineChars="200" w:firstLine="640"/>
        <w:rPr>
          <w:szCs w:val="32"/>
        </w:rPr>
      </w:pPr>
      <w:r>
        <w:rPr>
          <w:szCs w:val="32"/>
        </w:rPr>
        <w:t>精制川茶。重点在良种选育、高效栽培、精深加工、品质管理、茶机装备等方向布局。</w:t>
      </w:r>
    </w:p>
    <w:p w:rsidR="00980D97" w:rsidRDefault="00000000">
      <w:pPr>
        <w:spacing w:line="540" w:lineRule="exact"/>
        <w:ind w:firstLineChars="200" w:firstLine="640"/>
        <w:rPr>
          <w:szCs w:val="32"/>
        </w:rPr>
      </w:pPr>
      <w:r w:rsidRPr="00374D6F">
        <w:rPr>
          <w:szCs w:val="32"/>
          <w:highlight w:val="yellow"/>
        </w:rPr>
        <w:t>医药健康。</w:t>
      </w:r>
      <w:r>
        <w:rPr>
          <w:szCs w:val="32"/>
        </w:rPr>
        <w:t>重点在生物药、化学药、中医药、医疗器械、健康服务等方向布局。</w:t>
      </w:r>
    </w:p>
    <w:p w:rsidR="00980D97" w:rsidRDefault="00000000">
      <w:pPr>
        <w:spacing w:line="540" w:lineRule="exact"/>
        <w:ind w:firstLineChars="200" w:firstLine="640"/>
        <w:rPr>
          <w:szCs w:val="32"/>
        </w:rPr>
      </w:pPr>
      <w:r>
        <w:rPr>
          <w:szCs w:val="32"/>
        </w:rPr>
        <w:t>（</w:t>
      </w:r>
      <w:r>
        <w:rPr>
          <w:szCs w:val="32"/>
        </w:rPr>
        <w:t>4</w:t>
      </w:r>
      <w:r>
        <w:rPr>
          <w:szCs w:val="32"/>
        </w:rPr>
        <w:t>）先进材料</w:t>
      </w:r>
    </w:p>
    <w:p w:rsidR="00980D97" w:rsidRDefault="00000000">
      <w:pPr>
        <w:spacing w:line="540" w:lineRule="exact"/>
        <w:ind w:firstLineChars="200" w:firstLine="640"/>
        <w:rPr>
          <w:szCs w:val="32"/>
        </w:rPr>
      </w:pPr>
      <w:r>
        <w:rPr>
          <w:szCs w:val="32"/>
        </w:rPr>
        <w:t>重点在先进金属材料、先进有色金属材料、先进化工与高分子材料、先进建筑材料、先进复合材料、先进电子信息材料、高端重大装备关键材料、</w:t>
      </w:r>
      <w:r>
        <w:rPr>
          <w:szCs w:val="32"/>
        </w:rPr>
        <w:t>3D</w:t>
      </w:r>
      <w:r>
        <w:rPr>
          <w:szCs w:val="32"/>
        </w:rPr>
        <w:t>打印材料与应用、新能源材料、高性能纤维及复合材料等方向布局。</w:t>
      </w:r>
    </w:p>
    <w:p w:rsidR="00980D97" w:rsidRDefault="00000000">
      <w:pPr>
        <w:spacing w:line="540" w:lineRule="exact"/>
        <w:ind w:firstLineChars="200" w:firstLine="640"/>
        <w:rPr>
          <w:szCs w:val="32"/>
        </w:rPr>
      </w:pPr>
      <w:r>
        <w:rPr>
          <w:szCs w:val="32"/>
        </w:rPr>
        <w:t>（</w:t>
      </w:r>
      <w:r>
        <w:rPr>
          <w:szCs w:val="32"/>
        </w:rPr>
        <w:t>5</w:t>
      </w:r>
      <w:r>
        <w:rPr>
          <w:szCs w:val="32"/>
        </w:rPr>
        <w:t>）能源化工</w:t>
      </w:r>
    </w:p>
    <w:p w:rsidR="00980D97" w:rsidRDefault="00000000">
      <w:pPr>
        <w:spacing w:line="540" w:lineRule="exact"/>
        <w:ind w:firstLineChars="200" w:firstLine="640"/>
        <w:rPr>
          <w:szCs w:val="32"/>
        </w:rPr>
      </w:pPr>
      <w:r>
        <w:rPr>
          <w:szCs w:val="32"/>
        </w:rPr>
        <w:t>清洁能源。重点在水电、风电、光伏、页岩气、核能、氢能、智能电网与能源互联网、水电消纳等方向布局。</w:t>
      </w:r>
    </w:p>
    <w:p w:rsidR="00980D97" w:rsidRDefault="00000000">
      <w:pPr>
        <w:spacing w:line="540" w:lineRule="exact"/>
        <w:ind w:firstLineChars="200" w:firstLine="640"/>
        <w:rPr>
          <w:szCs w:val="32"/>
        </w:rPr>
      </w:pPr>
      <w:r>
        <w:rPr>
          <w:szCs w:val="32"/>
        </w:rPr>
        <w:lastRenderedPageBreak/>
        <w:t>绿色化工。重点在磷锂钛化工、石油化工、天然气化工、精细化工等方向布局。</w:t>
      </w:r>
    </w:p>
    <w:p w:rsidR="00980D97" w:rsidRDefault="00000000">
      <w:pPr>
        <w:spacing w:line="540" w:lineRule="exact"/>
        <w:ind w:firstLineChars="200" w:firstLine="640"/>
        <w:rPr>
          <w:szCs w:val="32"/>
        </w:rPr>
      </w:pPr>
      <w:r>
        <w:rPr>
          <w:szCs w:val="32"/>
        </w:rPr>
        <w:t>节能环保。重点在节能锅炉与高效电机系统、余热余能利用及能量回收、建筑节能与绿色建材领域、大气污染防治、水污染防治、固体废弃物处理及资源化、土壤污染防治、环保专用材料、智慧节能环保等方向布局。</w:t>
      </w:r>
    </w:p>
    <w:p w:rsidR="00980D97" w:rsidRDefault="00000000">
      <w:pPr>
        <w:spacing w:line="540" w:lineRule="exact"/>
        <w:ind w:firstLineChars="200" w:firstLine="640"/>
        <w:rPr>
          <w:szCs w:val="32"/>
        </w:rPr>
      </w:pPr>
      <w:r>
        <w:rPr>
          <w:szCs w:val="32"/>
        </w:rPr>
        <w:t>（</w:t>
      </w:r>
      <w:r>
        <w:rPr>
          <w:szCs w:val="32"/>
        </w:rPr>
        <w:t>6</w:t>
      </w:r>
      <w:r>
        <w:rPr>
          <w:szCs w:val="32"/>
        </w:rPr>
        <w:t>）数字经济</w:t>
      </w:r>
    </w:p>
    <w:p w:rsidR="00980D97" w:rsidRDefault="00000000">
      <w:pPr>
        <w:spacing w:line="540" w:lineRule="exact"/>
        <w:ind w:firstLineChars="200" w:firstLine="640"/>
        <w:rPr>
          <w:szCs w:val="32"/>
        </w:rPr>
      </w:pPr>
      <w:r>
        <w:rPr>
          <w:szCs w:val="32"/>
        </w:rPr>
        <w:t>重点在人工智能、云计算、</w:t>
      </w:r>
      <w:r>
        <w:rPr>
          <w:szCs w:val="32"/>
        </w:rPr>
        <w:t>5G</w:t>
      </w:r>
      <w:r>
        <w:rPr>
          <w:szCs w:val="32"/>
        </w:rPr>
        <w:t>、物联网、高清视频、信息安全、区块链、工业互联网、智慧医疗、智慧交通物流、数字乡村、数字化生活与服务、数字文创、智慧教育、智慧农业、智慧旅游、智慧金融、智慧政务等方向布局。</w:t>
      </w:r>
    </w:p>
    <w:p w:rsidR="00980D97" w:rsidRDefault="00000000">
      <w:pPr>
        <w:spacing w:line="540" w:lineRule="exact"/>
        <w:ind w:firstLineChars="200" w:firstLine="640"/>
        <w:rPr>
          <w:szCs w:val="32"/>
        </w:rPr>
      </w:pPr>
      <w:r>
        <w:rPr>
          <w:szCs w:val="32"/>
        </w:rPr>
        <w:t>（</w:t>
      </w:r>
      <w:r>
        <w:rPr>
          <w:szCs w:val="32"/>
        </w:rPr>
        <w:t>7</w:t>
      </w:r>
      <w:r>
        <w:rPr>
          <w:szCs w:val="32"/>
        </w:rPr>
        <w:t>）现代服务业</w:t>
      </w:r>
    </w:p>
    <w:p w:rsidR="00980D97" w:rsidRDefault="00000000">
      <w:pPr>
        <w:spacing w:line="540" w:lineRule="exact"/>
        <w:ind w:firstLineChars="200" w:firstLine="640"/>
        <w:rPr>
          <w:szCs w:val="32"/>
        </w:rPr>
      </w:pPr>
      <w:r>
        <w:rPr>
          <w:szCs w:val="32"/>
        </w:rPr>
        <w:t>聚焦我省</w:t>
      </w:r>
      <w:r>
        <w:rPr>
          <w:szCs w:val="32"/>
        </w:rPr>
        <w:t>“4+6”</w:t>
      </w:r>
      <w:r>
        <w:rPr>
          <w:szCs w:val="32"/>
        </w:rPr>
        <w:t>现代服务业，重点在电子商务、现代物流、现代金融、科技服务、养老健康、现代旅游、商贸流通、文化体育、现代会展、服务外包、人力资源服务、节能环保服务等方向布局。</w:t>
      </w:r>
    </w:p>
    <w:p w:rsidR="00980D97" w:rsidRDefault="00000000">
      <w:pPr>
        <w:spacing w:line="540" w:lineRule="exact"/>
        <w:ind w:firstLineChars="200" w:firstLine="640"/>
        <w:rPr>
          <w:szCs w:val="32"/>
        </w:rPr>
      </w:pPr>
      <w:r>
        <w:rPr>
          <w:szCs w:val="32"/>
        </w:rPr>
        <w:t>（</w:t>
      </w:r>
      <w:r>
        <w:rPr>
          <w:szCs w:val="32"/>
        </w:rPr>
        <w:t>8</w:t>
      </w:r>
      <w:r>
        <w:rPr>
          <w:szCs w:val="32"/>
        </w:rPr>
        <w:t>）现代农业</w:t>
      </w:r>
    </w:p>
    <w:p w:rsidR="00980D97" w:rsidRDefault="00000000">
      <w:pPr>
        <w:spacing w:line="540" w:lineRule="exact"/>
        <w:ind w:firstLineChars="200" w:firstLine="640"/>
        <w:rPr>
          <w:szCs w:val="32"/>
        </w:rPr>
      </w:pPr>
      <w:r>
        <w:rPr>
          <w:szCs w:val="32"/>
        </w:rPr>
        <w:t>聚焦我省</w:t>
      </w:r>
      <w:r>
        <w:rPr>
          <w:szCs w:val="32"/>
        </w:rPr>
        <w:t xml:space="preserve"> “10+3” </w:t>
      </w:r>
      <w:r>
        <w:rPr>
          <w:szCs w:val="32"/>
        </w:rPr>
        <w:t>现代农业，重点在农产品精深加工、智能农业、数字农业、农机装备、农业烘干冷链物流、农业信息服务、农业资源环境监测预警等方向布局。</w:t>
      </w:r>
    </w:p>
    <w:p w:rsidR="00980D97" w:rsidRDefault="00000000">
      <w:pPr>
        <w:spacing w:line="540" w:lineRule="exact"/>
        <w:ind w:firstLineChars="200" w:firstLine="640"/>
        <w:rPr>
          <w:szCs w:val="32"/>
        </w:rPr>
      </w:pPr>
      <w:r>
        <w:rPr>
          <w:szCs w:val="32"/>
        </w:rPr>
        <w:t>（</w:t>
      </w:r>
      <w:r>
        <w:rPr>
          <w:szCs w:val="32"/>
        </w:rPr>
        <w:t>9</w:t>
      </w:r>
      <w:r>
        <w:rPr>
          <w:szCs w:val="32"/>
        </w:rPr>
        <w:t>）新基建</w:t>
      </w:r>
    </w:p>
    <w:p w:rsidR="00980D97" w:rsidRDefault="00000000">
      <w:pPr>
        <w:spacing w:line="540" w:lineRule="exact"/>
        <w:ind w:firstLineChars="200" w:firstLine="640"/>
        <w:rPr>
          <w:szCs w:val="32"/>
        </w:rPr>
      </w:pPr>
      <w:r>
        <w:rPr>
          <w:szCs w:val="32"/>
        </w:rPr>
        <w:lastRenderedPageBreak/>
        <w:t>围绕国家新型基础设施建设，重点在</w:t>
      </w:r>
      <w:r>
        <w:rPr>
          <w:szCs w:val="32"/>
        </w:rPr>
        <w:t>5G</w:t>
      </w:r>
      <w:r>
        <w:rPr>
          <w:szCs w:val="32"/>
        </w:rPr>
        <w:t>基建、特高压、城际高速铁路和城际轨道交通、新能源汽车充电桩、大数据中心、人工智能、工业互联网等方向布局。</w:t>
      </w:r>
    </w:p>
    <w:p w:rsidR="00980D97" w:rsidRDefault="00000000">
      <w:pPr>
        <w:spacing w:line="540" w:lineRule="exact"/>
        <w:ind w:firstLineChars="200" w:firstLine="640"/>
        <w:rPr>
          <w:rFonts w:eastAsia="楷体_GB2312"/>
          <w:szCs w:val="32"/>
        </w:rPr>
      </w:pPr>
      <w:bookmarkStart w:id="47" w:name="_Toc21765636"/>
      <w:r>
        <w:rPr>
          <w:rFonts w:eastAsia="楷体_GB2312"/>
          <w:szCs w:val="32"/>
        </w:rPr>
        <w:t>（二）提升建设质量</w:t>
      </w:r>
      <w:bookmarkEnd w:id="47"/>
      <w:r>
        <w:rPr>
          <w:rFonts w:eastAsia="楷体_GB2312"/>
          <w:szCs w:val="32"/>
        </w:rPr>
        <w:t>。</w:t>
      </w:r>
    </w:p>
    <w:p w:rsidR="00980D97" w:rsidRDefault="00000000">
      <w:pPr>
        <w:spacing w:line="540" w:lineRule="exact"/>
        <w:ind w:firstLineChars="200" w:firstLine="640"/>
        <w:rPr>
          <w:szCs w:val="32"/>
        </w:rPr>
      </w:pPr>
      <w:bookmarkStart w:id="48" w:name="_Toc20906"/>
      <w:bookmarkStart w:id="49" w:name="_Toc21612072"/>
      <w:bookmarkStart w:id="50" w:name="_Toc21765637"/>
      <w:r>
        <w:rPr>
          <w:szCs w:val="32"/>
        </w:rPr>
        <w:t>1.</w:t>
      </w:r>
      <w:r>
        <w:rPr>
          <w:szCs w:val="32"/>
        </w:rPr>
        <w:t>提升技术与工程化研发能力</w:t>
      </w:r>
      <w:bookmarkEnd w:id="48"/>
      <w:bookmarkEnd w:id="49"/>
      <w:bookmarkEnd w:id="50"/>
      <w:r>
        <w:rPr>
          <w:szCs w:val="32"/>
        </w:rPr>
        <w:t>。</w:t>
      </w:r>
    </w:p>
    <w:p w:rsidR="00980D97" w:rsidRDefault="00000000">
      <w:pPr>
        <w:spacing w:line="540" w:lineRule="exact"/>
        <w:ind w:firstLineChars="200" w:firstLine="640"/>
        <w:rPr>
          <w:szCs w:val="32"/>
        </w:rPr>
      </w:pPr>
      <w:r>
        <w:rPr>
          <w:szCs w:val="32"/>
        </w:rPr>
        <w:t>引导和支持依托单位加强工程中心研发条件建设和场地建设，着力提升研发能力。加强创新资源集聚，深化产学研协同创新和开放合作，以创新项目推动工程中心与高校、科研院所等创新主体之间的技术、人才、信息互动互通。鼓励和支持工程中心承担和参与国家、省、市重大科技专项和重点研发项目。加大新型基础设施科研攻关和技术创新，推动传统制造业加速向数字化、网络化、智能化发展。分行业梳理提升产业发展的关键共性技术清单，确定重点任务、实现目标和实施路径，作为工程中心技术突破路线图，推动工程中心突破共性关键核心技术，形成工程化研发能力，输出产业化技术，实现关键核心技术自主创新。</w:t>
      </w:r>
    </w:p>
    <w:p w:rsidR="00980D97" w:rsidRDefault="00000000">
      <w:pPr>
        <w:spacing w:line="540" w:lineRule="exact"/>
        <w:ind w:firstLineChars="200" w:firstLine="640"/>
        <w:rPr>
          <w:szCs w:val="32"/>
        </w:rPr>
      </w:pPr>
      <w:bookmarkStart w:id="51" w:name="_Toc21765638"/>
      <w:bookmarkStart w:id="52" w:name="_Toc21612073"/>
      <w:bookmarkStart w:id="53" w:name="_Toc15212"/>
      <w:r>
        <w:rPr>
          <w:szCs w:val="32"/>
        </w:rPr>
        <w:t>2.</w:t>
      </w:r>
      <w:r>
        <w:rPr>
          <w:szCs w:val="32"/>
        </w:rPr>
        <w:t>加强成果转化与产业支撑</w:t>
      </w:r>
      <w:bookmarkEnd w:id="51"/>
      <w:bookmarkEnd w:id="52"/>
      <w:bookmarkEnd w:id="53"/>
      <w:r>
        <w:rPr>
          <w:szCs w:val="32"/>
        </w:rPr>
        <w:t>。</w:t>
      </w:r>
    </w:p>
    <w:p w:rsidR="00980D97" w:rsidRDefault="00000000">
      <w:pPr>
        <w:spacing w:line="540" w:lineRule="exact"/>
        <w:ind w:firstLineChars="200" w:firstLine="640"/>
        <w:rPr>
          <w:szCs w:val="32"/>
        </w:rPr>
      </w:pPr>
      <w:r>
        <w:rPr>
          <w:szCs w:val="32"/>
        </w:rPr>
        <w:t>整合高水平创新网络与平台，加强科技成果供需信息共享，增强工程中心创新成果供给。搭建工程中心与孵化载体对接平台，完善技术转移转化服务体系，为工程中心提供高水平的专业化、集成化服务。推动工程中心面向产业发展需求开展工程化与产业化开发，转化具有重大应用前景的技术成果。推动工程中心参与先进技术和重大装备的引进消化吸收再创新，加快创新转化步伐，</w:t>
      </w:r>
      <w:r>
        <w:rPr>
          <w:szCs w:val="32"/>
        </w:rPr>
        <w:lastRenderedPageBreak/>
        <w:t>为先进技术产业化提供成熟配套工艺、技术和装备，使工程中心成为助推产业发展的引擎。</w:t>
      </w:r>
    </w:p>
    <w:p w:rsidR="00980D97" w:rsidRDefault="00000000">
      <w:pPr>
        <w:spacing w:line="540" w:lineRule="exact"/>
        <w:ind w:firstLineChars="200" w:firstLine="640"/>
        <w:rPr>
          <w:szCs w:val="32"/>
        </w:rPr>
      </w:pPr>
      <w:bookmarkStart w:id="54" w:name="_Toc21765639"/>
      <w:bookmarkStart w:id="55" w:name="_Toc4835"/>
      <w:bookmarkStart w:id="56" w:name="_Toc21612074"/>
      <w:r>
        <w:rPr>
          <w:szCs w:val="32"/>
        </w:rPr>
        <w:t>3.</w:t>
      </w:r>
      <w:r>
        <w:rPr>
          <w:szCs w:val="32"/>
        </w:rPr>
        <w:t>深化开放共享与行业服务</w:t>
      </w:r>
      <w:bookmarkEnd w:id="54"/>
      <w:bookmarkEnd w:id="55"/>
      <w:bookmarkEnd w:id="56"/>
      <w:r>
        <w:rPr>
          <w:szCs w:val="32"/>
        </w:rPr>
        <w:t>。</w:t>
      </w:r>
    </w:p>
    <w:p w:rsidR="00980D97" w:rsidRDefault="00000000">
      <w:pPr>
        <w:spacing w:line="540" w:lineRule="exact"/>
        <w:ind w:firstLineChars="200" w:firstLine="640"/>
        <w:rPr>
          <w:szCs w:val="32"/>
        </w:rPr>
      </w:pPr>
      <w:r>
        <w:rPr>
          <w:szCs w:val="32"/>
        </w:rPr>
        <w:t>推动工程中心创新资源开放共享，建立创新资源共享机制，推动科研基础设施、大型科研仪器、科技数据、图书文献等面向行业开放服务。构建线上线下资源整合平台，加强与第三方服务平台的互联互通，扩大创新资源共享的广度和深度。推动工程中心对外承接工程技术研究、设计和试验任务，提供技术咨询、产品检测、质量监督及技术信息等服务，参与国际、国家和行业技术标准的研究制订，服务和支撑行业创新发展。推动成渝地区工程技术中心在科技创新信息、人才、基地、服务、平台等方面实现资源共享。</w:t>
      </w:r>
    </w:p>
    <w:p w:rsidR="00980D97" w:rsidRDefault="00000000">
      <w:pPr>
        <w:spacing w:line="540" w:lineRule="exact"/>
        <w:ind w:firstLineChars="200" w:firstLine="640"/>
        <w:rPr>
          <w:szCs w:val="32"/>
        </w:rPr>
      </w:pPr>
      <w:bookmarkStart w:id="57" w:name="_Toc23290"/>
      <w:bookmarkStart w:id="58" w:name="_Toc21765640"/>
      <w:bookmarkStart w:id="59" w:name="_Toc21612075"/>
      <w:r>
        <w:rPr>
          <w:szCs w:val="32"/>
        </w:rPr>
        <w:t>4.</w:t>
      </w:r>
      <w:r>
        <w:rPr>
          <w:szCs w:val="32"/>
        </w:rPr>
        <w:t>加快工程技术创新人才培育</w:t>
      </w:r>
      <w:bookmarkEnd w:id="57"/>
      <w:bookmarkEnd w:id="58"/>
      <w:bookmarkEnd w:id="59"/>
      <w:r>
        <w:rPr>
          <w:szCs w:val="32"/>
        </w:rPr>
        <w:t>。</w:t>
      </w:r>
    </w:p>
    <w:p w:rsidR="00980D97" w:rsidRDefault="00000000">
      <w:pPr>
        <w:spacing w:line="540" w:lineRule="exact"/>
        <w:ind w:firstLineChars="200" w:firstLine="640"/>
        <w:rPr>
          <w:szCs w:val="32"/>
        </w:rPr>
      </w:pPr>
      <w:r>
        <w:rPr>
          <w:szCs w:val="32"/>
        </w:rPr>
        <w:t>搭建高层次科技创新人才的引育平台，支持工程中心实施</w:t>
      </w:r>
      <w:r>
        <w:rPr>
          <w:szCs w:val="32"/>
        </w:rPr>
        <w:t>“</w:t>
      </w:r>
      <w:r>
        <w:rPr>
          <w:szCs w:val="32"/>
        </w:rPr>
        <w:t>天府高端引智计划</w:t>
      </w:r>
      <w:r>
        <w:rPr>
          <w:szCs w:val="32"/>
        </w:rPr>
        <w:t>”</w:t>
      </w:r>
      <w:r>
        <w:rPr>
          <w:szCs w:val="32"/>
        </w:rPr>
        <w:t>、培育高层次创新人才和领军人才引进。建设工程技术创新实践平台，利用高校和科研院所资源，培养创新型工程技术人才和创新创业人才。建立健全人才激励机制，落实人才政策，激发人才创新创造活力。组织面向行业、企业工程技术和管理人才培训，优化工程技术创新人才队伍结构，以人才培养和聚集提高相关行业和区域科技竞争力。</w:t>
      </w:r>
    </w:p>
    <w:p w:rsidR="00980D97" w:rsidRDefault="00000000">
      <w:pPr>
        <w:spacing w:line="540" w:lineRule="exact"/>
        <w:ind w:firstLineChars="200" w:firstLine="640"/>
        <w:rPr>
          <w:szCs w:val="32"/>
        </w:rPr>
      </w:pPr>
      <w:bookmarkStart w:id="60" w:name="_Toc21765641"/>
      <w:bookmarkStart w:id="61" w:name="_Toc12589"/>
      <w:bookmarkStart w:id="62" w:name="_Toc21612076"/>
      <w:r>
        <w:rPr>
          <w:szCs w:val="32"/>
        </w:rPr>
        <w:t>5.</w:t>
      </w:r>
      <w:r>
        <w:rPr>
          <w:szCs w:val="32"/>
        </w:rPr>
        <w:t>促进高水平科技合作与交流</w:t>
      </w:r>
      <w:bookmarkEnd w:id="60"/>
      <w:bookmarkEnd w:id="61"/>
      <w:bookmarkEnd w:id="62"/>
      <w:r>
        <w:rPr>
          <w:szCs w:val="32"/>
        </w:rPr>
        <w:t>。</w:t>
      </w:r>
    </w:p>
    <w:p w:rsidR="00980D97" w:rsidRDefault="00000000">
      <w:pPr>
        <w:spacing w:line="540" w:lineRule="exact"/>
        <w:ind w:firstLineChars="200" w:firstLine="640"/>
        <w:rPr>
          <w:szCs w:val="32"/>
        </w:rPr>
      </w:pPr>
      <w:r>
        <w:rPr>
          <w:szCs w:val="32"/>
        </w:rPr>
        <w:t>工程中心国际交流合作能力建设，加快对接国内外优势创新资源，密切跟踪先进前沿技术，加强产业技术创新合作和创新成</w:t>
      </w:r>
      <w:r>
        <w:rPr>
          <w:szCs w:val="32"/>
        </w:rPr>
        <w:lastRenderedPageBreak/>
        <w:t>果引进。促进工程中心与高校、科研院所间以及工程中心间合作交流，探索建立中心主体、机构互动、产学研协作的科技合作体系。定期开展多层次、高水平的科技合作交流活动，拓展市场发展视野，开展协同创新，推动行业技术进步，提升工程中心行业影响力。</w:t>
      </w:r>
    </w:p>
    <w:p w:rsidR="00980D97" w:rsidRDefault="00000000">
      <w:pPr>
        <w:spacing w:line="540" w:lineRule="exact"/>
        <w:ind w:firstLineChars="200" w:firstLine="640"/>
        <w:rPr>
          <w:rFonts w:eastAsia="楷体_GB2312"/>
          <w:szCs w:val="32"/>
        </w:rPr>
      </w:pPr>
      <w:bookmarkStart w:id="63" w:name="_Toc21765642"/>
      <w:r>
        <w:rPr>
          <w:rFonts w:eastAsia="楷体_GB2312"/>
          <w:szCs w:val="32"/>
        </w:rPr>
        <w:t>（三）强化运行管理</w:t>
      </w:r>
      <w:bookmarkEnd w:id="63"/>
      <w:r>
        <w:rPr>
          <w:rFonts w:eastAsia="楷体_GB2312"/>
          <w:szCs w:val="32"/>
        </w:rPr>
        <w:t>。</w:t>
      </w:r>
    </w:p>
    <w:p w:rsidR="00980D97" w:rsidRDefault="00000000">
      <w:pPr>
        <w:spacing w:line="540" w:lineRule="exact"/>
        <w:ind w:firstLineChars="200" w:firstLine="640"/>
        <w:rPr>
          <w:szCs w:val="32"/>
        </w:rPr>
      </w:pPr>
      <w:bookmarkStart w:id="64" w:name="_Toc21765643"/>
      <w:bookmarkStart w:id="65" w:name="_Toc13764"/>
      <w:bookmarkStart w:id="66" w:name="_Toc21612078"/>
      <w:r>
        <w:rPr>
          <w:szCs w:val="32"/>
        </w:rPr>
        <w:t>1.</w:t>
      </w:r>
      <w:r>
        <w:rPr>
          <w:szCs w:val="32"/>
        </w:rPr>
        <w:t>加强业务指导</w:t>
      </w:r>
      <w:bookmarkEnd w:id="64"/>
      <w:bookmarkEnd w:id="65"/>
      <w:bookmarkEnd w:id="66"/>
      <w:r>
        <w:rPr>
          <w:szCs w:val="32"/>
        </w:rPr>
        <w:t>。</w:t>
      </w:r>
    </w:p>
    <w:p w:rsidR="00980D97" w:rsidRDefault="00000000">
      <w:pPr>
        <w:spacing w:line="540" w:lineRule="exact"/>
        <w:ind w:firstLineChars="200" w:firstLine="640"/>
        <w:rPr>
          <w:szCs w:val="32"/>
        </w:rPr>
      </w:pPr>
      <w:r>
        <w:rPr>
          <w:szCs w:val="32"/>
        </w:rPr>
        <w:t>加强对工程中心建设、运行、发展的业务指导，推动工程中心实行依托单位领导下的主任负责制。建立专家委员会，分领域成立工程中心专家指导组，定期对工程中心开展业务指导和技术培训，推动工程中心将自身发展与全省产业布局和行业发展结合起来。引导工程中心加大研发经费投入，按行业建立研发经费投入重点工程中心名录，对重点工程中心实行一对一跟踪、指导和服务，对无研发经费投入或投入强度较低的工程中心，开展点对点指导。为工程中心搭建人才对接平台，引导工程中心针对亟需突破的关键核心技术有针对性地引进高端创新人才和行业领军人才。</w:t>
      </w:r>
    </w:p>
    <w:p w:rsidR="00980D97" w:rsidRDefault="00000000">
      <w:pPr>
        <w:spacing w:line="540" w:lineRule="exact"/>
        <w:ind w:firstLineChars="200" w:firstLine="640"/>
        <w:rPr>
          <w:szCs w:val="32"/>
        </w:rPr>
      </w:pPr>
      <w:bookmarkStart w:id="67" w:name="_Toc28196"/>
      <w:bookmarkStart w:id="68" w:name="_Toc21765644"/>
      <w:bookmarkStart w:id="69" w:name="_Toc21612080"/>
      <w:r>
        <w:rPr>
          <w:szCs w:val="32"/>
        </w:rPr>
        <w:t>2.</w:t>
      </w:r>
      <w:r>
        <w:rPr>
          <w:szCs w:val="32"/>
        </w:rPr>
        <w:t>完善管理制度</w:t>
      </w:r>
      <w:bookmarkEnd w:id="67"/>
      <w:bookmarkEnd w:id="68"/>
      <w:bookmarkEnd w:id="69"/>
      <w:r>
        <w:rPr>
          <w:szCs w:val="32"/>
        </w:rPr>
        <w:t>。</w:t>
      </w:r>
    </w:p>
    <w:p w:rsidR="00980D97" w:rsidRDefault="00000000">
      <w:pPr>
        <w:spacing w:line="540" w:lineRule="exact"/>
        <w:ind w:firstLineChars="200" w:firstLine="640"/>
        <w:rPr>
          <w:szCs w:val="32"/>
        </w:rPr>
      </w:pPr>
      <w:r>
        <w:rPr>
          <w:szCs w:val="32"/>
        </w:rPr>
        <w:t>简化工程中心认定程序，取消组建期，鼓励高新技术企业、科研机构和高等院校按照全省产业技术发展需求，先行开展创新平台建设，在达到组建条件后，直接认定为工程中心，享受有关支持政策。细化中心认定标准和条件，进一步完善分类认定，完善量化指标，提高中心认定科学性。修订《四川省工程技术研究</w:t>
      </w:r>
      <w:r>
        <w:rPr>
          <w:szCs w:val="32"/>
        </w:rPr>
        <w:lastRenderedPageBreak/>
        <w:t>中心管理办法》，探索委托第三方开展工程中心申报、论证、评估等管理工作新模式，推动工程中心运行规范化、科学化、系统化。完善工程中心组织机构，设立首席科学家，指导工程中心结合自身优势和特点开展行业服务工作。建立重大事项报告制度，开展好年度工作总结，为科学评估工程中心工作提供支撑。强化工程中心技术支撑，优化系统设置，实现集成功能，提高科技管理水平。</w:t>
      </w:r>
    </w:p>
    <w:p w:rsidR="00980D97" w:rsidRDefault="00000000">
      <w:pPr>
        <w:spacing w:line="540" w:lineRule="exact"/>
        <w:ind w:firstLineChars="200" w:firstLine="640"/>
        <w:rPr>
          <w:szCs w:val="32"/>
        </w:rPr>
      </w:pPr>
      <w:bookmarkStart w:id="70" w:name="_Toc21765645"/>
      <w:bookmarkStart w:id="71" w:name="_Toc21612081"/>
      <w:bookmarkStart w:id="72" w:name="_Toc32581"/>
      <w:r>
        <w:rPr>
          <w:szCs w:val="32"/>
        </w:rPr>
        <w:t>3.</w:t>
      </w:r>
      <w:r>
        <w:rPr>
          <w:szCs w:val="32"/>
        </w:rPr>
        <w:t>健全考核评估</w:t>
      </w:r>
      <w:bookmarkEnd w:id="70"/>
      <w:bookmarkEnd w:id="71"/>
      <w:bookmarkEnd w:id="72"/>
      <w:r>
        <w:rPr>
          <w:szCs w:val="32"/>
        </w:rPr>
        <w:t>。</w:t>
      </w:r>
    </w:p>
    <w:p w:rsidR="00980D97" w:rsidRDefault="00000000">
      <w:pPr>
        <w:spacing w:line="540" w:lineRule="exact"/>
        <w:ind w:firstLineChars="200" w:firstLine="640"/>
        <w:rPr>
          <w:szCs w:val="32"/>
        </w:rPr>
      </w:pPr>
      <w:r>
        <w:rPr>
          <w:szCs w:val="32"/>
        </w:rPr>
        <w:t>定期开展工程中心绩效评估，充分运用评估结果，提质增效、优胜劣汰、持续发展，增强工程中心建设的积极性和主动性。探索工程中心第三方评估方式，进一步完善评估指标体系，采用定性评估与定量评估相结合、会议评估与现场考察相结合、综合评估与专业评估相结合的方式开展评估评价，最终根据定量评估、现场考察、数据综合比较等多种方式，进行综合分析、独立评价、独立判断，形成科学、客观的评估报告。同时，对参评对象进行分类评估，为管理部门实施</w:t>
      </w:r>
      <w:r>
        <w:rPr>
          <w:szCs w:val="32"/>
        </w:rPr>
        <w:t>“</w:t>
      </w:r>
      <w:r>
        <w:rPr>
          <w:szCs w:val="32"/>
        </w:rPr>
        <w:t>优胜劣汰</w:t>
      </w:r>
      <w:r>
        <w:rPr>
          <w:szCs w:val="32"/>
        </w:rPr>
        <w:t>”</w:t>
      </w:r>
      <w:r>
        <w:rPr>
          <w:szCs w:val="32"/>
        </w:rPr>
        <w:t>的动态管理提供参考。</w:t>
      </w:r>
    </w:p>
    <w:p w:rsidR="00980D97" w:rsidRDefault="00000000">
      <w:pPr>
        <w:spacing w:line="540" w:lineRule="exact"/>
        <w:ind w:firstLineChars="200" w:firstLine="640"/>
        <w:rPr>
          <w:rFonts w:eastAsia="黑体"/>
          <w:szCs w:val="32"/>
        </w:rPr>
      </w:pPr>
      <w:bookmarkStart w:id="73" w:name="_Toc21765646"/>
      <w:r>
        <w:rPr>
          <w:rFonts w:eastAsia="黑体"/>
          <w:szCs w:val="32"/>
        </w:rPr>
        <w:t>四、保障措施</w:t>
      </w:r>
      <w:bookmarkEnd w:id="73"/>
    </w:p>
    <w:p w:rsidR="00980D97" w:rsidRDefault="00000000">
      <w:pPr>
        <w:spacing w:line="540" w:lineRule="exact"/>
        <w:ind w:firstLineChars="200" w:firstLine="640"/>
        <w:rPr>
          <w:rFonts w:eastAsia="楷体_GB2312"/>
          <w:szCs w:val="32"/>
        </w:rPr>
      </w:pPr>
      <w:bookmarkStart w:id="74" w:name="_Toc21765647"/>
      <w:r>
        <w:rPr>
          <w:rFonts w:eastAsia="楷体_GB2312"/>
          <w:szCs w:val="32"/>
        </w:rPr>
        <w:t>（一）加强组织领导</w:t>
      </w:r>
      <w:bookmarkEnd w:id="74"/>
      <w:r>
        <w:rPr>
          <w:rFonts w:eastAsia="楷体_GB2312"/>
          <w:szCs w:val="32"/>
        </w:rPr>
        <w:t>。</w:t>
      </w:r>
    </w:p>
    <w:p w:rsidR="00980D97" w:rsidRDefault="00000000">
      <w:pPr>
        <w:spacing w:line="540" w:lineRule="exact"/>
        <w:ind w:firstLineChars="200" w:firstLine="640"/>
        <w:rPr>
          <w:szCs w:val="32"/>
        </w:rPr>
      </w:pPr>
      <w:r>
        <w:rPr>
          <w:szCs w:val="32"/>
        </w:rPr>
        <w:t>成立工程中心领导小组及其办公室，遴选高校、科研院所和重点企业知名专家组成专家小组，加强对工程中心创新发展的顶层设计和业务指导。加强各级管理部门的工作协同，整合优势资源、凝聚各方力量共同推动工程中心高质量建设和发展。充分发挥市（州）作用，将工程中心建设发展质量纳入市（州）科技工</w:t>
      </w:r>
      <w:r>
        <w:rPr>
          <w:szCs w:val="32"/>
        </w:rPr>
        <w:lastRenderedPageBreak/>
        <w:t>作的考核指标，引导市（州）根据区域优势产业，加强工程中心管理和建设投入。</w:t>
      </w:r>
    </w:p>
    <w:p w:rsidR="00980D97" w:rsidRDefault="00000000">
      <w:pPr>
        <w:spacing w:line="540" w:lineRule="exact"/>
        <w:ind w:firstLineChars="200" w:firstLine="640"/>
        <w:rPr>
          <w:rFonts w:eastAsia="楷体_GB2312"/>
          <w:szCs w:val="32"/>
        </w:rPr>
      </w:pPr>
      <w:bookmarkStart w:id="75" w:name="_Toc21765648"/>
      <w:r>
        <w:rPr>
          <w:rFonts w:eastAsia="楷体_GB2312"/>
          <w:szCs w:val="32"/>
        </w:rPr>
        <w:t>（二）加强政策引导</w:t>
      </w:r>
      <w:bookmarkEnd w:id="75"/>
      <w:r>
        <w:rPr>
          <w:rFonts w:eastAsia="楷体_GB2312"/>
          <w:szCs w:val="32"/>
        </w:rPr>
        <w:t>。</w:t>
      </w:r>
    </w:p>
    <w:p w:rsidR="00980D97" w:rsidRDefault="00000000">
      <w:pPr>
        <w:spacing w:line="540" w:lineRule="exact"/>
        <w:ind w:firstLineChars="200" w:firstLine="640"/>
        <w:rPr>
          <w:szCs w:val="32"/>
        </w:rPr>
      </w:pPr>
      <w:r>
        <w:rPr>
          <w:szCs w:val="32"/>
        </w:rPr>
        <w:t>支持工程中心注册为独立法人的科技类民办非企业单位、事业单位和企业，鼓励社会各方参与工程中心的建设和运营，推动建设新型研发机构。对工程中心申报的符合条件的关键共性技术研发、新产品研发、成果转化、行业技术服务等给予支持，对评估为优秀的工程中心给予后补助支持。加强对工程中心高层次人才的创新创业支持。探索对科研人员实施科研成果转化股权、期权激励和奖励等分配政策。引导和鼓励市（州）管理部门和依托单位对工程中心建设给予配套支持。</w:t>
      </w:r>
    </w:p>
    <w:p w:rsidR="00980D97" w:rsidRDefault="00000000">
      <w:pPr>
        <w:spacing w:line="540" w:lineRule="exact"/>
        <w:ind w:firstLineChars="200" w:firstLine="640"/>
        <w:rPr>
          <w:rFonts w:eastAsia="楷体_GB2312"/>
          <w:szCs w:val="32"/>
        </w:rPr>
      </w:pPr>
      <w:bookmarkStart w:id="76" w:name="_Toc21765649"/>
      <w:r>
        <w:rPr>
          <w:rFonts w:eastAsia="楷体_GB2312"/>
          <w:szCs w:val="32"/>
        </w:rPr>
        <w:t>（三）加强宣传</w:t>
      </w:r>
      <w:bookmarkEnd w:id="76"/>
      <w:r>
        <w:rPr>
          <w:rFonts w:eastAsia="楷体_GB2312"/>
          <w:szCs w:val="32"/>
        </w:rPr>
        <w:t>交流。</w:t>
      </w:r>
    </w:p>
    <w:p w:rsidR="00980D97" w:rsidRDefault="00000000">
      <w:pPr>
        <w:spacing w:line="540" w:lineRule="exact"/>
        <w:ind w:firstLineChars="200" w:firstLine="640"/>
        <w:rPr>
          <w:szCs w:val="32"/>
        </w:rPr>
      </w:pPr>
      <w:r>
        <w:rPr>
          <w:szCs w:val="32"/>
        </w:rPr>
        <w:t>委托第三方创建《工程中心工作交流》专刊，鼓励工程中心投稿，及时总结和宣传优秀工程中心创新发展的新典型、新模式和新机制。强化行业服务优秀典型示范引领，综合运用网络、报刊等媒体加强对工程中心创新发展成功经验和突出成果的宣传推广，营造浓厚的工程技术创新氛围，引领和带动更多工程中心创新发展。举办工程中心交流会，总结建设经验，宣传行业服务成果，带动行业发展。</w:t>
      </w:r>
    </w:p>
    <w:p w:rsidR="00980D97" w:rsidRDefault="00980D97">
      <w:pPr>
        <w:spacing w:line="540" w:lineRule="exact"/>
        <w:ind w:firstLineChars="200" w:firstLine="640"/>
        <w:rPr>
          <w:szCs w:val="32"/>
        </w:rPr>
      </w:pPr>
    </w:p>
    <w:p w:rsidR="00980D97" w:rsidRDefault="00000000">
      <w:pPr>
        <w:spacing w:line="540" w:lineRule="exact"/>
        <w:ind w:firstLineChars="200" w:firstLine="596"/>
        <w:rPr>
          <w:spacing w:val="-11"/>
          <w:szCs w:val="32"/>
        </w:rPr>
        <w:sectPr w:rsidR="00980D97">
          <w:pgSz w:w="11906" w:h="16838"/>
          <w:pgMar w:top="2098" w:right="1474" w:bottom="1985" w:left="1588" w:header="851" w:footer="1474" w:gutter="0"/>
          <w:cols w:space="720"/>
          <w:docGrid w:linePitch="312"/>
        </w:sectPr>
      </w:pPr>
      <w:r>
        <w:rPr>
          <w:spacing w:val="-11"/>
          <w:szCs w:val="32"/>
        </w:rPr>
        <w:t>附件：四川省工程技术研究中心建设布局表（</w:t>
      </w:r>
      <w:r>
        <w:rPr>
          <w:spacing w:val="-11"/>
          <w:szCs w:val="32"/>
        </w:rPr>
        <w:t>2020-2025</w:t>
      </w:r>
      <w:r>
        <w:rPr>
          <w:spacing w:val="-11"/>
          <w:szCs w:val="32"/>
        </w:rPr>
        <w:t>年）</w:t>
      </w:r>
    </w:p>
    <w:p w:rsidR="00980D97" w:rsidRDefault="00980D97">
      <w:pPr>
        <w:spacing w:line="540" w:lineRule="exact"/>
        <w:ind w:firstLineChars="200" w:firstLine="596"/>
        <w:rPr>
          <w:spacing w:val="-11"/>
          <w:szCs w:val="32"/>
        </w:rPr>
      </w:pPr>
    </w:p>
    <w:p w:rsidR="00980D97" w:rsidRDefault="00000000">
      <w:pPr>
        <w:spacing w:line="600" w:lineRule="exact"/>
        <w:rPr>
          <w:rFonts w:eastAsia="黑体"/>
          <w:szCs w:val="32"/>
        </w:rPr>
      </w:pPr>
      <w:r>
        <w:rPr>
          <w:rFonts w:eastAsia="黑体"/>
          <w:szCs w:val="32"/>
        </w:rPr>
        <w:t>附件</w:t>
      </w:r>
    </w:p>
    <w:p w:rsidR="00980D97" w:rsidRDefault="00000000">
      <w:pPr>
        <w:spacing w:line="600" w:lineRule="exact"/>
        <w:jc w:val="center"/>
        <w:rPr>
          <w:rFonts w:eastAsia="方正小标宋_GBK"/>
          <w:spacing w:val="-11"/>
          <w:sz w:val="44"/>
          <w:szCs w:val="44"/>
        </w:rPr>
      </w:pPr>
      <w:r>
        <w:rPr>
          <w:rFonts w:eastAsia="方正小标宋_GBK"/>
          <w:spacing w:val="-11"/>
          <w:sz w:val="44"/>
          <w:szCs w:val="44"/>
        </w:rPr>
        <w:t>四川省工程技术研究中心建设布局表（</w:t>
      </w:r>
      <w:r>
        <w:rPr>
          <w:rFonts w:eastAsia="方正小标宋_GBK"/>
          <w:spacing w:val="-11"/>
          <w:sz w:val="44"/>
          <w:szCs w:val="44"/>
        </w:rPr>
        <w:t>2020-2025</w:t>
      </w:r>
      <w:r>
        <w:rPr>
          <w:rFonts w:eastAsia="方正小标宋_GBK"/>
          <w:spacing w:val="-11"/>
          <w:sz w:val="44"/>
          <w:szCs w:val="44"/>
        </w:rPr>
        <w:t>年）</w:t>
      </w:r>
    </w:p>
    <w:tbl>
      <w:tblPr>
        <w:tblW w:w="14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1368"/>
        <w:gridCol w:w="1844"/>
        <w:gridCol w:w="1125"/>
        <w:gridCol w:w="2055"/>
        <w:gridCol w:w="1081"/>
        <w:gridCol w:w="2420"/>
        <w:gridCol w:w="1551"/>
        <w:gridCol w:w="1391"/>
        <w:gridCol w:w="1221"/>
      </w:tblGrid>
      <w:tr w:rsidR="00980D97">
        <w:trPr>
          <w:trHeight w:val="397"/>
          <w:tblHeader/>
          <w:jc w:val="center"/>
        </w:trPr>
        <w:tc>
          <w:tcPr>
            <w:tcW w:w="764" w:type="dxa"/>
            <w:tcBorders>
              <w:top w:val="single" w:sz="4" w:space="0" w:color="auto"/>
              <w:left w:val="single" w:sz="4" w:space="0" w:color="auto"/>
              <w:bottom w:val="single" w:sz="4" w:space="0" w:color="auto"/>
              <w:right w:val="single" w:sz="4" w:space="0" w:color="auto"/>
            </w:tcBorders>
          </w:tcPr>
          <w:p w:rsidR="00980D97" w:rsidRDefault="00000000">
            <w:pPr>
              <w:spacing w:line="320" w:lineRule="exact"/>
              <w:jc w:val="right"/>
              <w:rPr>
                <w:rFonts w:eastAsia="宋体"/>
                <w:b/>
                <w:bCs/>
                <w:sz w:val="20"/>
              </w:rPr>
            </w:pPr>
            <w:r>
              <w:rPr>
                <w:b/>
                <w:bCs/>
                <w:noProof/>
                <w:sz w:val="20"/>
              </w:rPr>
              <mc:AlternateContent>
                <mc:Choice Requires="wps">
                  <w:drawing>
                    <wp:anchor distT="0" distB="0" distL="114300" distR="114300" simplePos="0" relativeHeight="251658240" behindDoc="0" locked="0" layoutInCell="1" allowOverlap="1">
                      <wp:simplePos x="0" y="0"/>
                      <wp:positionH relativeFrom="column">
                        <wp:posOffset>-56515</wp:posOffset>
                      </wp:positionH>
                      <wp:positionV relativeFrom="paragraph">
                        <wp:posOffset>31115</wp:posOffset>
                      </wp:positionV>
                      <wp:extent cx="478790" cy="871855"/>
                      <wp:effectExtent l="4445" t="2540" r="12065" b="1905"/>
                      <wp:wrapNone/>
                      <wp:docPr id="1" name="直接箭头连接符 1"/>
                      <wp:cNvGraphicFramePr/>
                      <a:graphic xmlns:a="http://schemas.openxmlformats.org/drawingml/2006/main">
                        <a:graphicData uri="http://schemas.microsoft.com/office/word/2010/wordprocessingShape">
                          <wps:wsp>
                            <wps:cNvCnPr/>
                            <wps:spPr>
                              <a:xfrm flipH="1" flipV="1">
                                <a:off x="0" y="0"/>
                                <a:ext cx="478790" cy="87185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x y;margin-left:-4.45pt;margin-top:2.45pt;height:68.65pt;width:37.7pt;z-index:251658240;mso-width-relative:page;mso-height-relative:page;" filled="f" stroked="t" coordsize="21600,21600" o:gfxdata="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TG37T1gAAAAcBAAAPAAAAAAAAAAEAIAAAACIAAABkcnMvZG93bnJldi54bWxQSwECFAAUAAAA&#10;CACHTuJAsKypxPABAAC2AwAADgAAAAAAAAABACAAAAAlAQAAZHJzL2Uyb0RvYy54bWxQSwUGAAAA&#10;AAYABgBZAQAAhwUAAAAA&#10;">
                      <v:fill on="f" focussize="0,0"/>
                      <v:stroke color="#000000" joinstyle="round"/>
                      <v:imagedata o:title=""/>
                      <o:lock v:ext="edit" aspectratio="f"/>
                    </v:shape>
                  </w:pict>
                </mc:Fallback>
              </mc:AlternateContent>
            </w:r>
            <w:r>
              <w:rPr>
                <w:b/>
                <w:bCs/>
                <w:sz w:val="20"/>
              </w:rPr>
              <w:t>产业</w:t>
            </w:r>
          </w:p>
          <w:p w:rsidR="00980D97" w:rsidRDefault="00000000">
            <w:pPr>
              <w:spacing w:line="320" w:lineRule="exact"/>
              <w:jc w:val="right"/>
              <w:rPr>
                <w:b/>
                <w:bCs/>
                <w:sz w:val="20"/>
              </w:rPr>
            </w:pPr>
            <w:r>
              <w:rPr>
                <w:b/>
                <w:bCs/>
                <w:sz w:val="20"/>
              </w:rPr>
              <w:t>领</w:t>
            </w:r>
          </w:p>
          <w:p w:rsidR="00980D97" w:rsidRDefault="00000000">
            <w:pPr>
              <w:spacing w:line="320" w:lineRule="exact"/>
              <w:jc w:val="right"/>
              <w:rPr>
                <w:b/>
                <w:bCs/>
                <w:sz w:val="20"/>
              </w:rPr>
            </w:pPr>
            <w:r>
              <w:rPr>
                <w:b/>
                <w:bCs/>
                <w:sz w:val="20"/>
              </w:rPr>
              <w:t>域</w:t>
            </w:r>
          </w:p>
          <w:p w:rsidR="00980D97" w:rsidRDefault="00000000">
            <w:pPr>
              <w:spacing w:line="320" w:lineRule="exact"/>
              <w:rPr>
                <w:b/>
                <w:bCs/>
                <w:sz w:val="20"/>
              </w:rPr>
            </w:pPr>
            <w:r>
              <w:rPr>
                <w:b/>
                <w:bCs/>
                <w:sz w:val="20"/>
              </w:rPr>
              <w:t>区</w:t>
            </w:r>
          </w:p>
          <w:p w:rsidR="00980D97" w:rsidRDefault="00000000">
            <w:pPr>
              <w:spacing w:line="320" w:lineRule="exact"/>
              <w:rPr>
                <w:b/>
                <w:bCs/>
                <w:sz w:val="20"/>
              </w:rPr>
            </w:pPr>
            <w:r>
              <w:rPr>
                <w:b/>
                <w:bCs/>
                <w:sz w:val="20"/>
              </w:rPr>
              <w:t>域</w:t>
            </w:r>
          </w:p>
        </w:tc>
        <w:tc>
          <w:tcPr>
            <w:tcW w:w="1369"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电子信息</w:t>
            </w:r>
          </w:p>
        </w:tc>
        <w:tc>
          <w:tcPr>
            <w:tcW w:w="184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装备制造</w:t>
            </w:r>
          </w:p>
        </w:tc>
        <w:tc>
          <w:tcPr>
            <w:tcW w:w="112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食品饮料</w:t>
            </w:r>
          </w:p>
        </w:tc>
        <w:tc>
          <w:tcPr>
            <w:tcW w:w="2056"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先进材料</w:t>
            </w:r>
          </w:p>
        </w:tc>
        <w:tc>
          <w:tcPr>
            <w:tcW w:w="108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能源化工</w:t>
            </w:r>
          </w:p>
        </w:tc>
        <w:tc>
          <w:tcPr>
            <w:tcW w:w="242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数字经济</w:t>
            </w:r>
          </w:p>
        </w:tc>
        <w:tc>
          <w:tcPr>
            <w:tcW w:w="155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现代服务业</w:t>
            </w:r>
          </w:p>
        </w:tc>
        <w:tc>
          <w:tcPr>
            <w:tcW w:w="139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现代农业</w:t>
            </w:r>
          </w:p>
        </w:tc>
        <w:tc>
          <w:tcPr>
            <w:tcW w:w="122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新基建</w:t>
            </w:r>
          </w:p>
        </w:tc>
      </w:tr>
      <w:tr w:rsidR="00980D97">
        <w:trPr>
          <w:trHeight w:val="397"/>
          <w:jc w:val="center"/>
        </w:trPr>
        <w:tc>
          <w:tcPr>
            <w:tcW w:w="764"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成都市</w:t>
            </w:r>
          </w:p>
        </w:tc>
        <w:tc>
          <w:tcPr>
            <w:tcW w:w="1369"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集成电路、新型显示、信息安全、软件与信息服务、智能终端、新一代网络技术、大数据、人工智能、虚拟现实等。</w:t>
            </w:r>
          </w:p>
        </w:tc>
        <w:tc>
          <w:tcPr>
            <w:tcW w:w="184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新能源与智能汽车、轨道交通、航空发动机、航空与燃机、航天装备、节能环保装备、智能装备、医疗设备及器械等。</w:t>
            </w:r>
          </w:p>
        </w:tc>
        <w:tc>
          <w:tcPr>
            <w:tcW w:w="112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生物技术药、新型化学药、中药制造、川菜调味品、优质白酒、饮料制造等。</w:t>
            </w:r>
          </w:p>
        </w:tc>
        <w:tc>
          <w:tcPr>
            <w:tcW w:w="2056"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高性能纤维及复合材料、特种金属功能材料、锂电池材料、太阳能电池材料、燃料电池材料、高分子材料、新型无机非金属材料、前沿性材料等。</w:t>
            </w:r>
          </w:p>
        </w:tc>
        <w:tc>
          <w:tcPr>
            <w:tcW w:w="108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氢能、绿色化工等。</w:t>
            </w:r>
          </w:p>
        </w:tc>
        <w:tc>
          <w:tcPr>
            <w:tcW w:w="242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大数据、人工智能、云计算、</w:t>
            </w:r>
            <w:r>
              <w:rPr>
                <w:sz w:val="20"/>
              </w:rPr>
              <w:t>5G</w:t>
            </w:r>
            <w:r>
              <w:rPr>
                <w:sz w:val="20"/>
              </w:rPr>
              <w:t>应用、物联网、高清视频、信息安全、集成电路设计、软件与信息服务、</w:t>
            </w:r>
            <w:r>
              <w:rPr>
                <w:sz w:val="20"/>
              </w:rPr>
              <w:t>AR/VR</w:t>
            </w:r>
            <w:r>
              <w:rPr>
                <w:sz w:val="20"/>
              </w:rPr>
              <w:t>、区块链、工业互联网、智慧医疗、智慧交通物流、智能制造、农业农村数字化、数字化生活与服务、数字文创、智慧教育、智慧旅游、智慧金融、智慧政务等。</w:t>
            </w:r>
          </w:p>
        </w:tc>
        <w:tc>
          <w:tcPr>
            <w:tcW w:w="155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现代金融、现代物流、科技服务、文化体育、现代旅游、现代会展、养老健康、电子商务、服务外包、商贸流通、人力资源服务、节能环保服务等。</w:t>
            </w:r>
          </w:p>
        </w:tc>
        <w:tc>
          <w:tcPr>
            <w:tcW w:w="139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农产品精深加工、现代农业种业、现代农业烘干冷链物流、智慧农业、农业信息服务、农业资源环境监测预警、智能农机等。</w:t>
            </w:r>
          </w:p>
        </w:tc>
        <w:tc>
          <w:tcPr>
            <w:tcW w:w="122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5G</w:t>
            </w:r>
            <w:r>
              <w:rPr>
                <w:sz w:val="20"/>
              </w:rPr>
              <w:t>基建、特高压、城际高速铁路和城际轨道交通、新能源汽车充电桩、大数据中心、人工智能、工业互联网等。</w:t>
            </w:r>
          </w:p>
        </w:tc>
      </w:tr>
      <w:tr w:rsidR="00980D97">
        <w:trPr>
          <w:trHeight w:val="397"/>
          <w:jc w:val="center"/>
        </w:trPr>
        <w:tc>
          <w:tcPr>
            <w:tcW w:w="764"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环成都经济圈</w:t>
            </w:r>
          </w:p>
        </w:tc>
        <w:tc>
          <w:tcPr>
            <w:tcW w:w="1369"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智能终端、大数据、新型显示、集成电路、半导体、先进封测、数字视听、软件</w:t>
            </w:r>
            <w:r>
              <w:rPr>
                <w:sz w:val="20"/>
              </w:rPr>
              <w:lastRenderedPageBreak/>
              <w:t>与信息服务、新一代网络技术、电子元器件、新光源、光电信息等。</w:t>
            </w:r>
          </w:p>
        </w:tc>
        <w:tc>
          <w:tcPr>
            <w:tcW w:w="184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汽车零部件、新能源与智能汽车、发电设备、输变电装备、油气化工与海洋工程装备、核技术及应用装备、智</w:t>
            </w:r>
            <w:r>
              <w:rPr>
                <w:sz w:val="20"/>
              </w:rPr>
              <w:lastRenderedPageBreak/>
              <w:t>能装备、航空与燃机、轨道交通、工业机器人、医疗设备与器械、机械零部件、农机装备等。</w:t>
            </w:r>
          </w:p>
        </w:tc>
        <w:tc>
          <w:tcPr>
            <w:tcW w:w="112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优质白酒、饮料制造、医药制剂、优质白酒、农产品精深加工、休</w:t>
            </w:r>
            <w:r>
              <w:rPr>
                <w:sz w:val="20"/>
              </w:rPr>
              <w:lastRenderedPageBreak/>
              <w:t>闲食品、精制川茶、中药制造、化学药等。</w:t>
            </w:r>
          </w:p>
        </w:tc>
        <w:tc>
          <w:tcPr>
            <w:tcW w:w="2056"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有色金属材料、钒钛钢铁材料、稀土材料、特种钢铁材料、新型建筑材料、电子材料、磁性材料、石墨烯材料、化工新材料、高</w:t>
            </w:r>
            <w:r>
              <w:rPr>
                <w:sz w:val="20"/>
              </w:rPr>
              <w:lastRenderedPageBreak/>
              <w:t>性能纤维及复合材料、太阳能电池材料、锂电池材料、太阳能电池材料、高性能纤维及复合材料、口腔装备材料等。</w:t>
            </w:r>
          </w:p>
        </w:tc>
        <w:tc>
          <w:tcPr>
            <w:tcW w:w="108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精细化工、盐卤化工、天然气化工、硫磷钛化工、</w:t>
            </w:r>
            <w:r>
              <w:rPr>
                <w:sz w:val="20"/>
              </w:rPr>
              <w:lastRenderedPageBreak/>
              <w:t>日用化工、节能环保等。</w:t>
            </w:r>
          </w:p>
        </w:tc>
        <w:tc>
          <w:tcPr>
            <w:tcW w:w="242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大数据、数字视听、超高清视频、物联网、云计算、</w:t>
            </w:r>
            <w:r>
              <w:rPr>
                <w:sz w:val="20"/>
              </w:rPr>
              <w:t>5G</w:t>
            </w:r>
            <w:r>
              <w:rPr>
                <w:sz w:val="20"/>
              </w:rPr>
              <w:t>应用、智能制造、智慧旅游、智慧健康医疗、智慧康养、智慧教育、分享经济、区块链、数字文创、</w:t>
            </w:r>
            <w:r>
              <w:rPr>
                <w:sz w:val="20"/>
              </w:rPr>
              <w:lastRenderedPageBreak/>
              <w:t>工业互联网、农业农村数字化、数字化生活与服务、人工智能、</w:t>
            </w:r>
            <w:r>
              <w:rPr>
                <w:sz w:val="20"/>
              </w:rPr>
              <w:t xml:space="preserve"> AR/VR</w:t>
            </w:r>
            <w:r>
              <w:rPr>
                <w:sz w:val="20"/>
              </w:rPr>
              <w:t>等。</w:t>
            </w:r>
          </w:p>
        </w:tc>
        <w:tc>
          <w:tcPr>
            <w:tcW w:w="155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现代物流、科技服务、现代旅游、现代会展、养老健康、电子商务、服务外包、商贸流通</w:t>
            </w:r>
            <w:r>
              <w:rPr>
                <w:sz w:val="20"/>
              </w:rPr>
              <w:lastRenderedPageBreak/>
              <w:t>等。</w:t>
            </w:r>
          </w:p>
        </w:tc>
        <w:tc>
          <w:tcPr>
            <w:tcW w:w="139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现代农业种业、现代农业烘干冷链物流、农机装备、农产品精深加工、农业</w:t>
            </w:r>
            <w:r>
              <w:rPr>
                <w:sz w:val="20"/>
              </w:rPr>
              <w:lastRenderedPageBreak/>
              <w:t>信息服务、农业资源环境监测预警、数字农业等。</w:t>
            </w:r>
          </w:p>
        </w:tc>
        <w:tc>
          <w:tcPr>
            <w:tcW w:w="122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5G</w:t>
            </w:r>
            <w:r>
              <w:rPr>
                <w:sz w:val="20"/>
              </w:rPr>
              <w:t>基建、特高压、城际高速铁路和城际轨道交通、新能源汽车充电</w:t>
            </w:r>
            <w:r>
              <w:rPr>
                <w:sz w:val="20"/>
              </w:rPr>
              <w:lastRenderedPageBreak/>
              <w:t>桩、大数据中心、人工智能、工业互联网等。</w:t>
            </w:r>
          </w:p>
        </w:tc>
      </w:tr>
      <w:tr w:rsidR="00980D97">
        <w:trPr>
          <w:trHeight w:val="397"/>
          <w:jc w:val="center"/>
        </w:trPr>
        <w:tc>
          <w:tcPr>
            <w:tcW w:w="764"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lastRenderedPageBreak/>
              <w:t>川南经济区</w:t>
            </w:r>
          </w:p>
        </w:tc>
        <w:tc>
          <w:tcPr>
            <w:tcW w:w="1369"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智能终端、电子元器件、大数据、北斗应用、信息安全等。</w:t>
            </w:r>
          </w:p>
        </w:tc>
        <w:tc>
          <w:tcPr>
            <w:tcW w:w="184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轨道交通、汽车零部件、新能源与智能汽车、通用航空、航空航天与燃机、工程机械、医疗设备及器械、节能环保装备、电力装备等。</w:t>
            </w:r>
          </w:p>
        </w:tc>
        <w:tc>
          <w:tcPr>
            <w:tcW w:w="112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中药制造、生物制药、化学药、优质白酒、精制川茶等。</w:t>
            </w:r>
          </w:p>
        </w:tc>
        <w:tc>
          <w:tcPr>
            <w:tcW w:w="2056"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化工新材料、金属复合材料、有色金属材料、钒钛新材料、太阳能电池材料、高分子化工材料、石墨烯材料、高性能纤维及复合材料、陶瓷新材料、新型建筑材料等。</w:t>
            </w:r>
          </w:p>
        </w:tc>
        <w:tc>
          <w:tcPr>
            <w:tcW w:w="108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盐化工等。</w:t>
            </w:r>
          </w:p>
        </w:tc>
        <w:tc>
          <w:tcPr>
            <w:tcW w:w="242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大数据、云计算、物联网、信息安全、</w:t>
            </w:r>
            <w:r>
              <w:rPr>
                <w:sz w:val="20"/>
              </w:rPr>
              <w:t>5G</w:t>
            </w:r>
            <w:r>
              <w:rPr>
                <w:sz w:val="20"/>
              </w:rPr>
              <w:t>、</w:t>
            </w:r>
            <w:r>
              <w:rPr>
                <w:sz w:val="20"/>
              </w:rPr>
              <w:t>AR/VR</w:t>
            </w:r>
            <w:r>
              <w:rPr>
                <w:sz w:val="20"/>
              </w:rPr>
              <w:t>、人工智能、智能终端、智慧政务、智慧教育、智慧医疗、智慧交通物流、视频医药智慧监管、智慧环保农业农村数字化、智慧旅游、智能制造、智慧港口等。</w:t>
            </w:r>
          </w:p>
        </w:tc>
        <w:tc>
          <w:tcPr>
            <w:tcW w:w="155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生产性服务外包、电子商务、现代物流、商贸流通、现代旅游、养老健康等。</w:t>
            </w:r>
          </w:p>
        </w:tc>
        <w:tc>
          <w:tcPr>
            <w:tcW w:w="139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优势特色农业。</w:t>
            </w:r>
          </w:p>
        </w:tc>
        <w:tc>
          <w:tcPr>
            <w:tcW w:w="122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5G</w:t>
            </w:r>
            <w:r>
              <w:rPr>
                <w:sz w:val="20"/>
              </w:rPr>
              <w:t>基建、特高压、城际高速铁路和城际轨道交通、新能源汽车充电桩、大数据中心、人工智能、工业互联网等。</w:t>
            </w:r>
          </w:p>
        </w:tc>
      </w:tr>
      <w:tr w:rsidR="00980D97">
        <w:trPr>
          <w:trHeight w:val="397"/>
          <w:jc w:val="center"/>
        </w:trPr>
        <w:tc>
          <w:tcPr>
            <w:tcW w:w="764"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川东北经济区</w:t>
            </w:r>
          </w:p>
        </w:tc>
        <w:tc>
          <w:tcPr>
            <w:tcW w:w="1369"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电子元器件、智能终端、软件与信息服务等。</w:t>
            </w:r>
          </w:p>
        </w:tc>
        <w:tc>
          <w:tcPr>
            <w:tcW w:w="184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汽车零部件、新能源与智能汽车、精密零部件、轨道交通、节能环保装备等。</w:t>
            </w:r>
          </w:p>
        </w:tc>
        <w:tc>
          <w:tcPr>
            <w:tcW w:w="112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饮料制造、精制川茶、医药制剂、中药制造等。</w:t>
            </w:r>
          </w:p>
        </w:tc>
        <w:tc>
          <w:tcPr>
            <w:tcW w:w="2056"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先进碳材料及石墨烯、铝基材料、锂电池材料、高分子合成材料、化工新材料、玄武岩纤维、新型建筑材料、先进轻纺材</w:t>
            </w:r>
            <w:r>
              <w:rPr>
                <w:sz w:val="20"/>
              </w:rPr>
              <w:lastRenderedPageBreak/>
              <w:t>料、微玻璃纤维等。</w:t>
            </w:r>
          </w:p>
        </w:tc>
        <w:tc>
          <w:tcPr>
            <w:tcW w:w="108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石油化工、精细化工、化工新材料、盐化工、天然</w:t>
            </w:r>
            <w:r>
              <w:rPr>
                <w:sz w:val="20"/>
              </w:rPr>
              <w:lastRenderedPageBreak/>
              <w:t>气化工、锂钾化工等。</w:t>
            </w:r>
          </w:p>
        </w:tc>
        <w:tc>
          <w:tcPr>
            <w:tcW w:w="242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大数据、云计算、人工智能、虚拟现实、智能终端、智慧政务、智慧教育、智慧环保等。</w:t>
            </w:r>
          </w:p>
        </w:tc>
        <w:tc>
          <w:tcPr>
            <w:tcW w:w="155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商贸物流、养老健康、现代物流、电子商务、现代金融、现代旅游等。</w:t>
            </w:r>
          </w:p>
        </w:tc>
        <w:tc>
          <w:tcPr>
            <w:tcW w:w="139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农产品精深加工、智能农机、农产品精深加工、现代农业种业、现代农业烘干</w:t>
            </w:r>
            <w:r>
              <w:rPr>
                <w:sz w:val="20"/>
              </w:rPr>
              <w:lastRenderedPageBreak/>
              <w:t>冷链物流等。</w:t>
            </w:r>
          </w:p>
        </w:tc>
        <w:tc>
          <w:tcPr>
            <w:tcW w:w="122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lastRenderedPageBreak/>
              <w:t>5G</w:t>
            </w:r>
            <w:r>
              <w:rPr>
                <w:sz w:val="20"/>
              </w:rPr>
              <w:t>基建、特高压、城际高速铁路和城际轨道交通、新能源汽车充电</w:t>
            </w:r>
            <w:r>
              <w:rPr>
                <w:sz w:val="20"/>
              </w:rPr>
              <w:lastRenderedPageBreak/>
              <w:t>桩、大数据中心、人工智能、工业互联网等。</w:t>
            </w:r>
          </w:p>
        </w:tc>
      </w:tr>
      <w:tr w:rsidR="00980D97">
        <w:trPr>
          <w:trHeight w:val="567"/>
          <w:jc w:val="center"/>
        </w:trPr>
        <w:tc>
          <w:tcPr>
            <w:tcW w:w="764"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lastRenderedPageBreak/>
              <w:t>攀西经济区</w:t>
            </w:r>
          </w:p>
        </w:tc>
        <w:tc>
          <w:tcPr>
            <w:tcW w:w="1369"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大数据中心和灾备中心等。</w:t>
            </w:r>
          </w:p>
        </w:tc>
        <w:tc>
          <w:tcPr>
            <w:tcW w:w="184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汽车零部件、工程与矿山冶金装备、轨道交通、节能环保装备、新能源装备等。</w:t>
            </w:r>
          </w:p>
        </w:tc>
        <w:tc>
          <w:tcPr>
            <w:tcW w:w="112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医药制剂、康养装备等。</w:t>
            </w:r>
          </w:p>
        </w:tc>
        <w:tc>
          <w:tcPr>
            <w:tcW w:w="2056"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钒钛钢铁材料、石墨及碳基材料、稀贵金属材料、稀土材料、有色金属材料等。</w:t>
            </w:r>
          </w:p>
        </w:tc>
        <w:tc>
          <w:tcPr>
            <w:tcW w:w="108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风电、光电、水电、电能消纳、节能环保等。</w:t>
            </w:r>
          </w:p>
        </w:tc>
        <w:tc>
          <w:tcPr>
            <w:tcW w:w="242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智慧康养、大数据中心等。</w:t>
            </w:r>
          </w:p>
        </w:tc>
        <w:tc>
          <w:tcPr>
            <w:tcW w:w="155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电子商务、养老健康、现代旅游、现代金融、现代展会、商贸流通等。</w:t>
            </w:r>
          </w:p>
        </w:tc>
        <w:tc>
          <w:tcPr>
            <w:tcW w:w="139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优势特色农业。</w:t>
            </w:r>
          </w:p>
        </w:tc>
        <w:tc>
          <w:tcPr>
            <w:tcW w:w="122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5G</w:t>
            </w:r>
            <w:r>
              <w:rPr>
                <w:sz w:val="20"/>
              </w:rPr>
              <w:t>基建、特高压、新能源汽车充电桩、大数据中心、人工智能、工业互联网等。</w:t>
            </w:r>
          </w:p>
        </w:tc>
      </w:tr>
      <w:tr w:rsidR="00980D97">
        <w:trPr>
          <w:trHeight w:val="397"/>
          <w:jc w:val="center"/>
        </w:trPr>
        <w:tc>
          <w:tcPr>
            <w:tcW w:w="764"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jc w:val="center"/>
              <w:rPr>
                <w:b/>
                <w:bCs/>
                <w:sz w:val="20"/>
              </w:rPr>
            </w:pPr>
            <w:r>
              <w:rPr>
                <w:b/>
                <w:bCs/>
                <w:sz w:val="20"/>
              </w:rPr>
              <w:t>川西北生态示范区</w:t>
            </w:r>
          </w:p>
        </w:tc>
        <w:tc>
          <w:tcPr>
            <w:tcW w:w="1369"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商业大数据中心等。</w:t>
            </w:r>
          </w:p>
        </w:tc>
        <w:tc>
          <w:tcPr>
            <w:tcW w:w="184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新能源汽车、汽车零部件、动力电池、等。</w:t>
            </w:r>
          </w:p>
        </w:tc>
        <w:tc>
          <w:tcPr>
            <w:tcW w:w="1125"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矿泉水、生物医药、中藏药等。</w:t>
            </w:r>
          </w:p>
        </w:tc>
        <w:tc>
          <w:tcPr>
            <w:tcW w:w="2056"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新型磁性材料、锂材料、碲复合材料、人工晶体材料、新型硅材料等。</w:t>
            </w:r>
          </w:p>
        </w:tc>
        <w:tc>
          <w:tcPr>
            <w:tcW w:w="108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水电、光电、风电、电能消纳、节能环保等。</w:t>
            </w:r>
          </w:p>
        </w:tc>
        <w:tc>
          <w:tcPr>
            <w:tcW w:w="2421"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智慧康养、智慧畜牧、大数据中心等。</w:t>
            </w:r>
          </w:p>
        </w:tc>
        <w:tc>
          <w:tcPr>
            <w:tcW w:w="155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现代旅游、生态康养等。</w:t>
            </w:r>
          </w:p>
        </w:tc>
        <w:tc>
          <w:tcPr>
            <w:tcW w:w="139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优势特色农业。</w:t>
            </w:r>
          </w:p>
        </w:tc>
        <w:tc>
          <w:tcPr>
            <w:tcW w:w="1222" w:type="dxa"/>
            <w:tcBorders>
              <w:top w:val="single" w:sz="4" w:space="0" w:color="auto"/>
              <w:left w:val="single" w:sz="4" w:space="0" w:color="auto"/>
              <w:bottom w:val="single" w:sz="4" w:space="0" w:color="auto"/>
              <w:right w:val="single" w:sz="4" w:space="0" w:color="auto"/>
            </w:tcBorders>
            <w:vAlign w:val="center"/>
          </w:tcPr>
          <w:p w:rsidR="00980D97" w:rsidRDefault="00000000">
            <w:pPr>
              <w:spacing w:line="320" w:lineRule="exact"/>
              <w:rPr>
                <w:sz w:val="20"/>
              </w:rPr>
            </w:pPr>
            <w:r>
              <w:rPr>
                <w:sz w:val="20"/>
              </w:rPr>
              <w:t>5G</w:t>
            </w:r>
            <w:r>
              <w:rPr>
                <w:sz w:val="20"/>
              </w:rPr>
              <w:t>基建、特高压、大数据中心等。</w:t>
            </w:r>
          </w:p>
        </w:tc>
      </w:tr>
    </w:tbl>
    <w:p w:rsidR="00980D97" w:rsidRDefault="00980D97"/>
    <w:sectPr w:rsidR="00980D97">
      <w:headerReference w:type="even" r:id="rId27"/>
      <w:headerReference w:type="default" r:id="rId28"/>
      <w:footerReference w:type="even" r:id="rId29"/>
      <w:footerReference w:type="default" r:id="rId30"/>
      <w:pgSz w:w="16838" w:h="11906" w:orient="landscape"/>
      <w:pgMar w:top="1588" w:right="2098" w:bottom="1474" w:left="1985" w:header="851" w:footer="992" w:gutter="0"/>
      <w:cols w:space="425"/>
      <w:docGrid w:type="linesAndChars" w:linePitch="579" w:charSpace="-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20A4" w:rsidRDefault="001320A4">
      <w:r>
        <w:separator/>
      </w:r>
    </w:p>
  </w:endnote>
  <w:endnote w:type="continuationSeparator" w:id="0">
    <w:p w:rsidR="001320A4" w:rsidRDefault="0013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panose1 w:val="020B0604020202020204"/>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B0604020202020204"/>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方正小标宋_GBK">
    <w:altName w:val="微软雅黑"/>
    <w:panose1 w:val="020B0604020202020204"/>
    <w:charset w:val="86"/>
    <w:family w:val="script"/>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altName w:val="FangSong"/>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32379"/>
    </w:sdtPr>
    <w:sdtEndPr>
      <w:rPr>
        <w:rFonts w:ascii="Times New Roman" w:hAnsi="Times New Roman"/>
        <w:sz w:val="24"/>
        <w:szCs w:val="24"/>
      </w:rPr>
    </w:sdtEndPr>
    <w:sdtContent>
      <w:p w:rsidR="00980D97" w:rsidRDefault="00000000">
        <w:pPr>
          <w:pStyle w:val="a7"/>
          <w:ind w:firstLineChars="150" w:firstLine="27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lang w:val="zh-CN"/>
          </w:rPr>
          <w:t>2</w:t>
        </w:r>
        <w:r>
          <w:rPr>
            <w:rFonts w:ascii="Times New Roman" w:hAnsi="Times New Roman"/>
            <w:sz w:val="24"/>
            <w:szCs w:val="24"/>
          </w:rPr>
          <w:fldChar w:fldCharType="end"/>
        </w:r>
        <w:r>
          <w:rPr>
            <w:rFonts w:ascii="Times New Roman" w:hAnsi="Times New Roman"/>
            <w:sz w:val="24"/>
            <w:szCs w:val="24"/>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0D97" w:rsidRDefault="00000000">
    <w:pPr>
      <w:pStyle w:val="a7"/>
      <w:ind w:right="270"/>
      <w:jc w:val="right"/>
      <w:rPr>
        <w:rFonts w:ascii="Times New Roman" w:hAnsi="Times New Roman"/>
        <w:sz w:val="24"/>
        <w:szCs w:val="24"/>
      </w:rPr>
    </w:pPr>
    <w:r>
      <w:rPr>
        <w:noProof/>
        <w:sz w:val="24"/>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29632344"/>
                          </w:sdtPr>
                          <w:sdtEndPr>
                            <w:rPr>
                              <w:rFonts w:ascii="Times New Roman" w:hAnsi="Times New Roman"/>
                              <w:sz w:val="24"/>
                              <w:szCs w:val="24"/>
                            </w:rPr>
                          </w:sdtEndPr>
                          <w:sdtContent>
                            <w:p w:rsidR="00980D97" w:rsidRDefault="00000000">
                              <w:pPr>
                                <w:pStyle w:val="a7"/>
                                <w:ind w:right="270"/>
                                <w:jc w:val="right"/>
                                <w:rPr>
                                  <w:rFonts w:ascii="Times New Roman" w:hAnsi="Times New Roman"/>
                                  <w:sz w:val="24"/>
                                  <w:szCs w:val="24"/>
                                </w:rPr>
                              </w:pPr>
                              <w:r>
                                <w:rPr>
                                  <w:rFonts w:ascii="Times New Roman" w:hAnsi="Times New Roman"/>
                                  <w:sz w:val="24"/>
                                  <w:szCs w:val="24"/>
                                </w:rPr>
                                <w:t>—</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lang w:val="zh-CN"/>
                                </w:rPr>
                                <w:t>1</w:t>
                              </w:r>
                              <w:r>
                                <w:rPr>
                                  <w:rFonts w:ascii="Times New Roman" w:hAnsi="Times New Roman"/>
                                  <w:sz w:val="24"/>
                                  <w:szCs w:val="24"/>
                                </w:rPr>
                                <w:fldChar w:fldCharType="end"/>
                              </w:r>
                              <w:r>
                                <w:rPr>
                                  <w:rFonts w:ascii="Times New Roman" w:hAnsi="Times New Roman"/>
                                  <w:sz w:val="24"/>
                                  <w:szCs w:val="24"/>
                                </w:rPr>
                                <w:t>—</w:t>
                              </w:r>
                            </w:p>
                          </w:sdtContent>
                        </w:sdt>
                        <w:p w:rsidR="00980D97" w:rsidRDefault="00980D97">
                          <w:pPr>
                            <w:rPr>
                              <w:sz w:val="24"/>
                              <w:szCs w:val="24"/>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cNyfWwQIAANYFAAAOAAAAAAAA&#10;AAEAIAAAAB8BAABkcnMvZTJvRG9jLnhtbFBLBQYAAAAABgAGAFkBAABSBgAAAAA=&#10;">
              <v:fill on="f" focussize="0,0"/>
              <v:stroke on="f" weight="0.5pt"/>
              <v:imagedata o:title=""/>
              <o:lock v:ext="edit" aspectratio="f"/>
              <v:textbox inset="0mm,0mm,0mm,0mm" style="mso-fit-shape-to-text:t;">
                <w:txbxContent>
                  <w:sdt>
                    <w:sdtPr>
                      <w:id w:val="29632344"/>
                      <w:docPartObj>
                        <w:docPartGallery w:val="autotext"/>
                      </w:docPartObj>
                    </w:sdtPr>
                    <w:sdtEndPr>
                      <w:rPr>
                        <w:rFonts w:ascii="Times New Roman" w:hAnsi="Times New Roman"/>
                        <w:sz w:val="24"/>
                        <w:szCs w:val="24"/>
                      </w:rPr>
                    </w:sdtEndPr>
                    <w:sdtContent>
                      <w:p>
                        <w:pPr>
                          <w:pStyle w:val="6"/>
                          <w:ind w:right="270"/>
                          <w:jc w:val="right"/>
                          <w:rPr>
                            <w:rFonts w:ascii="Times New Roman" w:hAnsi="Times New Roman"/>
                            <w:sz w:val="24"/>
                            <w:szCs w:val="24"/>
                          </w:rPr>
                        </w:pPr>
                        <w:r>
                          <w:rPr>
                            <w:rFonts w:ascii="Times New Roman" w:hAnsi="Times New Roman"/>
                            <w:sz w:val="24"/>
                            <w:szCs w:val="24"/>
                          </w:rPr>
                          <w:t>—</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lang w:val="zh-CN"/>
                          </w:rPr>
                          <w:t>1</w:t>
                        </w:r>
                        <w:r>
                          <w:rPr>
                            <w:rFonts w:ascii="Times New Roman" w:hAnsi="Times New Roman"/>
                            <w:sz w:val="24"/>
                            <w:szCs w:val="24"/>
                          </w:rPr>
                          <w:fldChar w:fldCharType="end"/>
                        </w:r>
                        <w:r>
                          <w:rPr>
                            <w:rFonts w:ascii="Times New Roman" w:hAnsi="Times New Roman"/>
                            <w:sz w:val="24"/>
                            <w:szCs w:val="24"/>
                          </w:rPr>
                          <w:t>—</w:t>
                        </w:r>
                      </w:p>
                    </w:sdtContent>
                  </w:sdt>
                  <w:p>
                    <w:pPr>
                      <w:rPr>
                        <w:rFonts w:ascii="Times New Roman" w:hAnsi="Times New Roman"/>
                        <w:sz w:val="24"/>
                        <w:szCs w:val="24"/>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0D97" w:rsidRDefault="00000000">
    <w:pPr>
      <w:pStyle w:val="a7"/>
      <w:ind w:firstLineChars="101" w:firstLine="283"/>
      <w:rPr>
        <w:rFonts w:ascii="Times New Roman" w:hAnsi="Times New Roman" w:cs="Times New Roman"/>
        <w:sz w:val="28"/>
        <w:szCs w:val="28"/>
      </w:rPr>
    </w:pPr>
    <w:r>
      <w:rPr>
        <w:rFonts w:ascii="Times New Roman" w:hAnsi="Times New Roman" w:cs="Times New Roman"/>
        <w:sz w:val="28"/>
        <w:szCs w:val="28"/>
      </w:rPr>
      <w:t>—</w:t>
    </w:r>
    <w:sdt>
      <w:sdtPr>
        <w:rPr>
          <w:rFonts w:ascii="Times New Roman" w:hAnsi="Times New Roman" w:cs="Times New Roman"/>
          <w:sz w:val="28"/>
          <w:szCs w:val="28"/>
        </w:rPr>
        <w:id w:val="-1886551163"/>
      </w:sdtPr>
      <w:sdtContent>
        <w:r>
          <w:rPr>
            <w:rFonts w:ascii="Times New Roman" w:hAnsi="Times New Roman" w:cs="Times New Roman"/>
            <w:sz w:val="28"/>
            <w:szCs w:val="28"/>
          </w:rPr>
          <w:fldChar w:fldCharType="begin"/>
        </w:r>
        <w:r>
          <w:rPr>
            <w:rFonts w:ascii="Times New Roman" w:hAnsi="Times New Roman" w:cs="Times New Roman"/>
            <w:sz w:val="28"/>
            <w:szCs w:val="28"/>
          </w:rPr>
          <w:instrText>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3</w:t>
        </w:r>
        <w:r>
          <w:rPr>
            <w:rFonts w:ascii="Times New Roman" w:hAnsi="Times New Roman" w:cs="Times New Roman"/>
            <w:sz w:val="28"/>
            <w:szCs w:val="28"/>
            <w:lang w:val="zh-CN"/>
          </w:rPr>
          <w:t>0</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rsidR="00980D97" w:rsidRDefault="00980D97">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0D97" w:rsidRDefault="00000000">
    <w:pPr>
      <w:pStyle w:val="a7"/>
      <w:ind w:rightChars="96" w:right="307" w:firstLine="182"/>
      <w:jc w:val="right"/>
      <w:rPr>
        <w:rFonts w:ascii="Times New Roman" w:hAnsi="Times New Roman" w:cs="Times New Roman"/>
        <w:sz w:val="24"/>
        <w:szCs w:val="24"/>
      </w:rPr>
    </w:pPr>
    <w:r>
      <w:rPr>
        <w:noProof/>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499117612"/>
                          </w:sdtPr>
                          <w:sdtEndPr>
                            <w:rPr>
                              <w:rFonts w:ascii="Times New Roman" w:hAnsi="Times New Roman" w:cs="Times New Roman"/>
                              <w:sz w:val="24"/>
                              <w:szCs w:val="24"/>
                            </w:rPr>
                          </w:sdtEndPr>
                          <w:sdtContent>
                            <w:p w:rsidR="00980D97" w:rsidRDefault="00000000">
                              <w:pPr>
                                <w:pStyle w:val="a7"/>
                                <w:ind w:rightChars="96" w:right="307" w:firstLine="182"/>
                                <w:jc w:val="right"/>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fldChar w:fldCharType="begin"/>
                              </w:r>
                              <w:r>
                                <w:rPr>
                                  <w:rFonts w:ascii="Times New Roman" w:hAnsi="Times New Roman" w:cs="Times New Roman"/>
                                  <w:sz w:val="28"/>
                                  <w:szCs w:val="28"/>
                                </w:rPr>
                                <w:instrText>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2</w:t>
                              </w:r>
                              <w:r>
                                <w:rPr>
                                  <w:rFonts w:ascii="Times New Roman" w:hAnsi="Times New Roman" w:cs="Times New Roman"/>
                                  <w:sz w:val="28"/>
                                  <w:szCs w:val="28"/>
                                  <w:lang w:val="zh-CN"/>
                                </w:rPr>
                                <w:t>9</w:t>
                              </w:r>
                              <w:r>
                                <w:rPr>
                                  <w:rFonts w:ascii="Times New Roman" w:hAnsi="Times New Roman" w:cs="Times New Roman"/>
                                  <w:sz w:val="28"/>
                                  <w:szCs w:val="28"/>
                                </w:rPr>
                                <w:fldChar w:fldCharType="end"/>
                              </w:r>
                              <w:r>
                                <w:rPr>
                                  <w:rFonts w:ascii="Times New Roman" w:hAnsi="Times New Roman" w:cs="Times New Roman"/>
                                  <w:sz w:val="28"/>
                                  <w:szCs w:val="28"/>
                                </w:rPr>
                                <w:t>—</w:t>
                              </w:r>
                            </w:p>
                          </w:sdtContent>
                        </w:sdt>
                        <w:p w:rsidR="00980D97" w:rsidRDefault="00980D97">
                          <w:pPr>
                            <w:rPr>
                              <w:sz w:val="24"/>
                              <w:szCs w:val="24"/>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dF6DCAgAA1gUAAA4AAABkcnMvZTJvRG9jLnhtbK1UzY7TMBC+I/EO&#10;lu/ZJN20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enw8hfOGjAORfOFrIAH3up68yHcTS+Sq/SJEgGo6sgifI8mBXzJBgV8dkw&#10;P83n8zz+6PzFyaRuypIJF6+fkjj5sy7s57Xr72FOjORN6dy5lIxeLedcow2BKS385xCG5B+YhY/T&#10;8Gqo6klJ8SCJLgfjoBilZ0FSJMNgfBalQRSPL8ej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R0XoMICAADWBQAADgAAAAAA&#10;AAABACAAAAAfAQAAZHJzL2Uyb0RvYy54bWxQSwUGAAAAAAYABgBZAQAAUwYAAAAA&#10;">
              <v:fill on="f" focussize="0,0"/>
              <v:stroke on="f" weight="0.5pt"/>
              <v:imagedata o:title=""/>
              <o:lock v:ext="edit" aspectratio="f"/>
              <v:textbox inset="0mm,0mm,0mm,0mm" style="mso-fit-shape-to-text:t;">
                <w:txbxContent>
                  <w:sdt>
                    <w:sdtPr>
                      <w:id w:val="-499117612"/>
                      <w:docPartObj>
                        <w:docPartGallery w:val="autotext"/>
                      </w:docPartObj>
                    </w:sdtPr>
                    <w:sdtEndPr>
                      <w:rPr>
                        <w:rFonts w:ascii="Times New Roman" w:hAnsi="Times New Roman" w:cs="Times New Roman"/>
                        <w:sz w:val="24"/>
                        <w:szCs w:val="24"/>
                      </w:rPr>
                    </w:sdtEndPr>
                    <w:sdtContent>
                      <w:p>
                        <w:pPr>
                          <w:pStyle w:val="6"/>
                          <w:ind w:right="307" w:rightChars="96" w:firstLine="182"/>
                          <w:jc w:val="right"/>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29</w:t>
                        </w:r>
                        <w:r>
                          <w:rPr>
                            <w:rFonts w:ascii="Times New Roman" w:hAnsi="Times New Roman" w:cs="Times New Roman"/>
                            <w:sz w:val="28"/>
                            <w:szCs w:val="28"/>
                          </w:rPr>
                          <w:fldChar w:fldCharType="end"/>
                        </w:r>
                        <w:r>
                          <w:rPr>
                            <w:rFonts w:ascii="Times New Roman" w:hAnsi="Times New Roman" w:cs="Times New Roman"/>
                            <w:sz w:val="28"/>
                            <w:szCs w:val="28"/>
                          </w:rPr>
                          <w:t>—</w:t>
                        </w:r>
                      </w:p>
                    </w:sdtContent>
                  </w:sdt>
                  <w:p>
                    <w:pPr>
                      <w:rPr>
                        <w:rFonts w:ascii="Times New Roman" w:hAnsi="Times New Roman" w:cs="Times New Roman"/>
                        <w:sz w:val="24"/>
                        <w:szCs w:val="24"/>
                      </w:rPr>
                    </w:pPr>
                  </w:p>
                </w:txbxContent>
              </v:textbox>
            </v:shape>
          </w:pict>
        </mc:Fallback>
      </mc:AlternateContent>
    </w:r>
  </w:p>
  <w:p w:rsidR="00980D97" w:rsidRDefault="00980D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20A4" w:rsidRDefault="001320A4">
      <w:r>
        <w:separator/>
      </w:r>
    </w:p>
  </w:footnote>
  <w:footnote w:type="continuationSeparator" w:id="0">
    <w:p w:rsidR="001320A4" w:rsidRDefault="001320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0D97" w:rsidRDefault="00980D97">
    <w:pPr>
      <w:pStyle w:val="a9"/>
      <w:pBdr>
        <w:bottom w:val="none" w:sz="0"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0D97" w:rsidRDefault="00980D97">
    <w:pPr>
      <w:pStyle w:val="a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0D97" w:rsidRDefault="00980D97">
    <w:pPr>
      <w:pStyle w:val="a9"/>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bordersDoNotSurroundHeader/>
  <w:bordersDoNotSurroundFooter/>
  <w:proofState w:spelling="clean" w:grammar="clean"/>
  <w:defaultTabStop w:val="420"/>
  <w:drawingGridHorizontalSpacing w:val="160"/>
  <w:drawingGridVerticalSpacing w:val="579"/>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0E7D"/>
    <w:rsid w:val="00004EBB"/>
    <w:rsid w:val="00006F27"/>
    <w:rsid w:val="00015C43"/>
    <w:rsid w:val="000334EE"/>
    <w:rsid w:val="00035D0C"/>
    <w:rsid w:val="0005411F"/>
    <w:rsid w:val="00065D0C"/>
    <w:rsid w:val="000864E3"/>
    <w:rsid w:val="000A499F"/>
    <w:rsid w:val="000A55A3"/>
    <w:rsid w:val="000A6180"/>
    <w:rsid w:val="000E6CA4"/>
    <w:rsid w:val="000F2696"/>
    <w:rsid w:val="0010062B"/>
    <w:rsid w:val="00124491"/>
    <w:rsid w:val="001313C4"/>
    <w:rsid w:val="001320A4"/>
    <w:rsid w:val="0014728D"/>
    <w:rsid w:val="00186339"/>
    <w:rsid w:val="001A2A61"/>
    <w:rsid w:val="001E1EAC"/>
    <w:rsid w:val="001E7B74"/>
    <w:rsid w:val="001F2D90"/>
    <w:rsid w:val="00205393"/>
    <w:rsid w:val="002200D3"/>
    <w:rsid w:val="0022397C"/>
    <w:rsid w:val="0022428F"/>
    <w:rsid w:val="00246B7F"/>
    <w:rsid w:val="00270347"/>
    <w:rsid w:val="00283AF1"/>
    <w:rsid w:val="002A237D"/>
    <w:rsid w:val="002A4B59"/>
    <w:rsid w:val="002D7E75"/>
    <w:rsid w:val="002E2252"/>
    <w:rsid w:val="002E57A9"/>
    <w:rsid w:val="002F1AB6"/>
    <w:rsid w:val="00303107"/>
    <w:rsid w:val="00307FE7"/>
    <w:rsid w:val="003100B5"/>
    <w:rsid w:val="00316441"/>
    <w:rsid w:val="00320E7D"/>
    <w:rsid w:val="00333620"/>
    <w:rsid w:val="0034506D"/>
    <w:rsid w:val="00352C8D"/>
    <w:rsid w:val="003677C7"/>
    <w:rsid w:val="00374D6F"/>
    <w:rsid w:val="003908C4"/>
    <w:rsid w:val="003A562C"/>
    <w:rsid w:val="003C753C"/>
    <w:rsid w:val="003E508C"/>
    <w:rsid w:val="003F00FF"/>
    <w:rsid w:val="003F1D69"/>
    <w:rsid w:val="0040412D"/>
    <w:rsid w:val="0043255B"/>
    <w:rsid w:val="0044290E"/>
    <w:rsid w:val="00446AAD"/>
    <w:rsid w:val="00456EE8"/>
    <w:rsid w:val="004C691C"/>
    <w:rsid w:val="00521F01"/>
    <w:rsid w:val="005233DC"/>
    <w:rsid w:val="005369ED"/>
    <w:rsid w:val="005557B0"/>
    <w:rsid w:val="00555E8D"/>
    <w:rsid w:val="00582203"/>
    <w:rsid w:val="00592ACD"/>
    <w:rsid w:val="005A6B4C"/>
    <w:rsid w:val="005D0E13"/>
    <w:rsid w:val="0060189F"/>
    <w:rsid w:val="00651988"/>
    <w:rsid w:val="006579C6"/>
    <w:rsid w:val="006B445C"/>
    <w:rsid w:val="006C08EC"/>
    <w:rsid w:val="006C111F"/>
    <w:rsid w:val="006D03AE"/>
    <w:rsid w:val="006D5939"/>
    <w:rsid w:val="006E5320"/>
    <w:rsid w:val="00724597"/>
    <w:rsid w:val="0072530E"/>
    <w:rsid w:val="00746EFD"/>
    <w:rsid w:val="00794E34"/>
    <w:rsid w:val="007A152F"/>
    <w:rsid w:val="007A15DD"/>
    <w:rsid w:val="007B583C"/>
    <w:rsid w:val="007C7BF6"/>
    <w:rsid w:val="00836068"/>
    <w:rsid w:val="00836F27"/>
    <w:rsid w:val="008765E3"/>
    <w:rsid w:val="00895BD4"/>
    <w:rsid w:val="008F02C7"/>
    <w:rsid w:val="00947BBF"/>
    <w:rsid w:val="0095693F"/>
    <w:rsid w:val="009677D9"/>
    <w:rsid w:val="00970CFB"/>
    <w:rsid w:val="00976EF6"/>
    <w:rsid w:val="00980D97"/>
    <w:rsid w:val="009B3BF4"/>
    <w:rsid w:val="009E1AD3"/>
    <w:rsid w:val="009F2FA1"/>
    <w:rsid w:val="009F657C"/>
    <w:rsid w:val="00A06AAA"/>
    <w:rsid w:val="00A144EC"/>
    <w:rsid w:val="00A20BAA"/>
    <w:rsid w:val="00A313A9"/>
    <w:rsid w:val="00A41B8D"/>
    <w:rsid w:val="00A424D4"/>
    <w:rsid w:val="00A431E6"/>
    <w:rsid w:val="00A87D87"/>
    <w:rsid w:val="00AB32F1"/>
    <w:rsid w:val="00AB64F0"/>
    <w:rsid w:val="00AF3AE7"/>
    <w:rsid w:val="00B0311E"/>
    <w:rsid w:val="00B24231"/>
    <w:rsid w:val="00B53524"/>
    <w:rsid w:val="00B55149"/>
    <w:rsid w:val="00B8014E"/>
    <w:rsid w:val="00B865ED"/>
    <w:rsid w:val="00B916EC"/>
    <w:rsid w:val="00BA2F4D"/>
    <w:rsid w:val="00BB21C5"/>
    <w:rsid w:val="00BE5F27"/>
    <w:rsid w:val="00C0659B"/>
    <w:rsid w:val="00C1752B"/>
    <w:rsid w:val="00C20EC7"/>
    <w:rsid w:val="00C259C2"/>
    <w:rsid w:val="00C30A65"/>
    <w:rsid w:val="00C655F5"/>
    <w:rsid w:val="00C85D22"/>
    <w:rsid w:val="00CA30B4"/>
    <w:rsid w:val="00CD45C8"/>
    <w:rsid w:val="00CF10A6"/>
    <w:rsid w:val="00D104B2"/>
    <w:rsid w:val="00D46C7E"/>
    <w:rsid w:val="00D555C9"/>
    <w:rsid w:val="00D64E3A"/>
    <w:rsid w:val="00D67034"/>
    <w:rsid w:val="00D81BC1"/>
    <w:rsid w:val="00DA31CD"/>
    <w:rsid w:val="00DB019D"/>
    <w:rsid w:val="00DB5839"/>
    <w:rsid w:val="00DD518B"/>
    <w:rsid w:val="00DF70C0"/>
    <w:rsid w:val="00E0325A"/>
    <w:rsid w:val="00E26787"/>
    <w:rsid w:val="00E841E6"/>
    <w:rsid w:val="00E9438E"/>
    <w:rsid w:val="00EA5F2A"/>
    <w:rsid w:val="00EA63DD"/>
    <w:rsid w:val="00ED0CCF"/>
    <w:rsid w:val="00ED5EFB"/>
    <w:rsid w:val="00F147E0"/>
    <w:rsid w:val="00F34E91"/>
    <w:rsid w:val="00F47797"/>
    <w:rsid w:val="00F506B1"/>
    <w:rsid w:val="00F50E60"/>
    <w:rsid w:val="00FA3D1E"/>
    <w:rsid w:val="00FA4A18"/>
    <w:rsid w:val="00FA4AA6"/>
    <w:rsid w:val="00FD48B0"/>
    <w:rsid w:val="00FE12B7"/>
    <w:rsid w:val="00FE1579"/>
    <w:rsid w:val="01E20B2A"/>
    <w:rsid w:val="11D877AC"/>
    <w:rsid w:val="37323E24"/>
    <w:rsid w:val="4CA95612"/>
    <w:rsid w:val="501227CB"/>
    <w:rsid w:val="5AE66985"/>
    <w:rsid w:val="71791A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C0A85E7C-FE07-5C45-9471-26CC1B1D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仿宋_GB2312"/>
      <w:kern w:val="2"/>
      <w:sz w:val="32"/>
    </w:rPr>
  </w:style>
  <w:style w:type="paragraph" w:styleId="1">
    <w:name w:val="heading 1"/>
    <w:basedOn w:val="a"/>
    <w:next w:val="a"/>
    <w:link w:val="10"/>
    <w:uiPriority w:val="99"/>
    <w:qFormat/>
    <w:pPr>
      <w:keepNext/>
      <w:keepLines/>
      <w:adjustRightInd w:val="0"/>
      <w:snapToGrid w:val="0"/>
      <w:spacing w:line="560" w:lineRule="exact"/>
      <w:ind w:firstLineChars="200" w:firstLine="640"/>
      <w:jc w:val="both"/>
      <w:outlineLvl w:val="0"/>
    </w:pPr>
    <w:rPr>
      <w:rFonts w:ascii="黑体" w:eastAsia="黑体" w:hAnsi="黑体"/>
      <w:kern w:val="44"/>
      <w:szCs w:val="32"/>
    </w:rPr>
  </w:style>
  <w:style w:type="paragraph" w:styleId="2">
    <w:name w:val="heading 2"/>
    <w:basedOn w:val="a"/>
    <w:next w:val="a"/>
    <w:link w:val="20"/>
    <w:uiPriority w:val="9"/>
    <w:unhideWhenUsed/>
    <w:qFormat/>
    <w:pPr>
      <w:keepNext/>
      <w:keepLines/>
      <w:adjustRightInd w:val="0"/>
      <w:snapToGrid w:val="0"/>
      <w:spacing w:line="560" w:lineRule="exact"/>
      <w:ind w:firstLineChars="200" w:firstLine="640"/>
      <w:jc w:val="both"/>
      <w:outlineLvl w:val="1"/>
    </w:pPr>
    <w:rPr>
      <w:rFonts w:ascii="楷体_GB2312" w:eastAsia="楷体_GB2312" w:hAnsiTheme="majorHAnsi" w:cstheme="majorBidi"/>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pPr>
      <w:adjustRightInd w:val="0"/>
      <w:snapToGrid w:val="0"/>
      <w:spacing w:after="200"/>
    </w:pPr>
    <w:rPr>
      <w:rFonts w:ascii="Tahoma" w:eastAsiaTheme="minorEastAsia" w:hAnsi="Tahoma"/>
      <w:kern w:val="0"/>
      <w:szCs w:val="22"/>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pPr>
    <w:rPr>
      <w:rFonts w:asciiTheme="minorHAnsi" w:eastAsiaTheme="minorEastAsia" w:hAnsiTheme="minorHAnsi" w:cstheme="minorBidi"/>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qFormat/>
    <w:rPr>
      <w:color w:val="0000FF" w:themeColor="hyperlink"/>
      <w:u w:val="single"/>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6">
    <w:name w:val="批注框文本 字符"/>
    <w:basedOn w:val="a0"/>
    <w:link w:val="a5"/>
    <w:uiPriority w:val="99"/>
    <w:semiHidden/>
    <w:qFormat/>
    <w:rPr>
      <w:rFonts w:ascii="Times New Roman" w:eastAsia="仿宋_GB2312" w:hAnsi="Times New Roman" w:cs="Times New Roman"/>
      <w:sz w:val="18"/>
      <w:szCs w:val="18"/>
    </w:rPr>
  </w:style>
  <w:style w:type="character" w:customStyle="1" w:styleId="10">
    <w:name w:val="标题 1 字符"/>
    <w:basedOn w:val="a0"/>
    <w:link w:val="1"/>
    <w:uiPriority w:val="99"/>
    <w:qFormat/>
    <w:rPr>
      <w:rFonts w:ascii="黑体" w:eastAsia="黑体" w:hAnsi="黑体" w:cs="Times New Roman"/>
      <w:kern w:val="44"/>
      <w:sz w:val="32"/>
      <w:szCs w:val="32"/>
    </w:rPr>
  </w:style>
  <w:style w:type="character" w:customStyle="1" w:styleId="a4">
    <w:name w:val="批注文字 字符"/>
    <w:link w:val="a3"/>
    <w:uiPriority w:val="99"/>
    <w:qFormat/>
    <w:locked/>
    <w:rPr>
      <w:rFonts w:ascii="Tahoma" w:hAnsi="Tahoma" w:cs="Times New Roman"/>
      <w:kern w:val="0"/>
      <w:sz w:val="32"/>
    </w:rPr>
  </w:style>
  <w:style w:type="character" w:customStyle="1" w:styleId="Char1">
    <w:name w:val="批注文字 Char1"/>
    <w:basedOn w:val="a0"/>
    <w:uiPriority w:val="99"/>
    <w:semiHidden/>
    <w:qFormat/>
    <w:rPr>
      <w:rFonts w:ascii="Times New Roman" w:eastAsia="仿宋_GB2312" w:hAnsi="Times New Roman" w:cs="Times New Roman"/>
      <w:sz w:val="32"/>
      <w:szCs w:val="20"/>
    </w:rPr>
  </w:style>
  <w:style w:type="character" w:customStyle="1" w:styleId="20">
    <w:name w:val="标题 2 字符"/>
    <w:basedOn w:val="a0"/>
    <w:link w:val="2"/>
    <w:uiPriority w:val="9"/>
    <w:qFormat/>
    <w:rPr>
      <w:rFonts w:ascii="楷体_GB2312" w:eastAsia="楷体_GB2312" w:hAnsiTheme="majorHAnsi"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13"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18"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7" Type="http://schemas.openxmlformats.org/officeDocument/2006/relationships/endnotes" Target="endnotes.xml"/><Relationship Id="rId12"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17"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0"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3"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8" Type="http://schemas.openxmlformats.org/officeDocument/2006/relationships/header" Target="header3.xml"/><Relationship Id="rId10"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19"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14"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2" Type="http://schemas.openxmlformats.org/officeDocument/2006/relationships/hyperlink" Target="file:///H:\&#22235;&#24029;&#30465;&#31185;&#23398;&#25216;&#26415;&#21381;&#20851;&#20110;&#21360;&#21457;&#12298;&#22235;&#24029;&#30465;&#24037;&#31243;&#25216;&#26415;&#30740;&#31350;&#20013;&#24515;&#24314;&#35774;&#21457;&#23637;&#35268;&#21010;&#65288;2020-2025&#24180;&#65289;&#12299;&#30340;&#36890;&#30693;-&#26680;&#23450;.doc"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E87E1DA-E038-4F07-B984-B807650474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2036</Words>
  <Characters>11608</Characters>
  <Application>Microsoft Office Word</Application>
  <DocSecurity>0</DocSecurity>
  <Lines>96</Lines>
  <Paragraphs>27</Paragraphs>
  <ScaleCrop>false</ScaleCrop>
  <Company>Microsoft</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wyz</dc:creator>
  <cp:lastModifiedBy>徐文颖</cp:lastModifiedBy>
  <cp:revision>6</cp:revision>
  <cp:lastPrinted>2020-04-20T08:15:00Z</cp:lastPrinted>
  <dcterms:created xsi:type="dcterms:W3CDTF">2020-03-16T03:10:00Z</dcterms:created>
  <dcterms:modified xsi:type="dcterms:W3CDTF">2023-10-16T07:08:00Z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