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lang w:val="en-US" w:eastAsia="zh-CN"/>
        </w:rPr>
        <w:t>附件4</w:t>
      </w:r>
    </w:p>
    <w:p>
      <w:pPr>
        <w:pStyle w:val="2"/>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方正小标宋_GBK" w:cs="Times New Roman"/>
          <w:sz w:val="44"/>
          <w:szCs w:val="44"/>
          <w:lang w:val="en-US" w:eastAsia="zh-CN"/>
        </w:rPr>
      </w:pPr>
    </w:p>
    <w:p>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sz w:val="44"/>
          <w:szCs w:val="44"/>
          <w:lang w:val="en-US" w:eastAsia="zh-CN"/>
        </w:rPr>
      </w:pPr>
      <w:r>
        <w:rPr>
          <w:rFonts w:hint="default" w:ascii="Times New Roman" w:hAnsi="Times New Roman" w:eastAsia="方正小标宋_GBK" w:cs="Times New Roman"/>
          <w:sz w:val="44"/>
          <w:szCs w:val="44"/>
          <w:lang w:val="en-US" w:eastAsia="zh-CN"/>
        </w:rPr>
        <w:t>2024年四川省科技创新基地（平台）和</w:t>
      </w:r>
    </w:p>
    <w:p>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_GBK" w:cs="Times New Roman"/>
          <w:sz w:val="44"/>
          <w:szCs w:val="44"/>
          <w:lang w:val="en-US" w:eastAsia="zh-CN"/>
        </w:rPr>
      </w:pPr>
      <w:r>
        <w:rPr>
          <w:rFonts w:hint="default" w:ascii="Times New Roman" w:hAnsi="Times New Roman" w:eastAsia="方正小标宋_GBK" w:cs="Times New Roman"/>
          <w:sz w:val="44"/>
          <w:szCs w:val="44"/>
          <w:lang w:val="en-US" w:eastAsia="zh-CN"/>
        </w:rPr>
        <w:t>人才计划申报指南</w:t>
      </w:r>
    </w:p>
    <w:p>
      <w:pPr>
        <w:pStyle w:val="2"/>
        <w:keepNext w:val="0"/>
        <w:keepLines w:val="0"/>
        <w:pageBreakBefore w:val="0"/>
        <w:kinsoku/>
        <w:wordWrap/>
        <w:overflowPunct/>
        <w:topLinePunct w:val="0"/>
        <w:autoSpaceDE/>
        <w:autoSpaceDN/>
        <w:bidi w:val="0"/>
        <w:adjustRightInd/>
        <w:snapToGrid/>
        <w:spacing w:line="560" w:lineRule="exact"/>
        <w:jc w:val="both"/>
        <w:textAlignment w:val="auto"/>
        <w:rPr>
          <w:rFonts w:hint="default" w:ascii="Times New Roman" w:hAnsi="Times New Roman" w:eastAsia="黑体" w:cs="Times New Roman"/>
          <w:sz w:val="32"/>
          <w:szCs w:val="32"/>
          <w:lang w:val="en-US" w:eastAsia="zh-CN"/>
        </w:rPr>
      </w:pPr>
    </w:p>
    <w:p>
      <w:pPr>
        <w:keepNext w:val="0"/>
        <w:keepLines w:val="0"/>
        <w:pageBreakBefore w:val="0"/>
        <w:numPr>
          <w:ilvl w:val="0"/>
          <w:numId w:val="0"/>
        </w:numPr>
        <w:kinsoku/>
        <w:wordWrap/>
        <w:bidi w:val="0"/>
        <w:spacing w:line="560" w:lineRule="exact"/>
        <w:ind w:firstLine="640" w:firstLineChars="200"/>
        <w:jc w:val="both"/>
        <w:textAlignment w:val="auto"/>
        <w:rPr>
          <w:rFonts w:hint="default" w:ascii="Times New Roman" w:hAnsi="Times New Roman" w:eastAsia="黑体" w:cs="Times New Roman"/>
          <w:b w:val="0"/>
          <w:bCs w:val="0"/>
          <w:sz w:val="32"/>
          <w:szCs w:val="32"/>
          <w:lang w:eastAsia="zh-CN"/>
        </w:rPr>
      </w:pPr>
      <w:r>
        <w:rPr>
          <w:rFonts w:hint="default" w:ascii="Times New Roman" w:hAnsi="Times New Roman" w:eastAsia="黑体" w:cs="Times New Roman"/>
          <w:b w:val="0"/>
          <w:bCs w:val="0"/>
          <w:sz w:val="32"/>
          <w:szCs w:val="32"/>
          <w:lang w:eastAsia="zh-CN"/>
        </w:rPr>
        <w:t>一、</w:t>
      </w:r>
      <w:r>
        <w:rPr>
          <w:rFonts w:hint="default" w:ascii="Times New Roman" w:hAnsi="Times New Roman" w:eastAsia="黑体" w:cs="Times New Roman"/>
          <w:b w:val="0"/>
          <w:bCs w:val="0"/>
          <w:sz w:val="32"/>
          <w:szCs w:val="32"/>
        </w:rPr>
        <w:t>软科学</w:t>
      </w:r>
      <w:r>
        <w:rPr>
          <w:rFonts w:hint="default" w:ascii="Times New Roman" w:hAnsi="Times New Roman" w:eastAsia="黑体" w:cs="Times New Roman"/>
          <w:b w:val="0"/>
          <w:bCs w:val="0"/>
          <w:sz w:val="32"/>
          <w:szCs w:val="32"/>
          <w:lang w:eastAsia="zh-CN"/>
        </w:rPr>
        <w:t>研究</w:t>
      </w:r>
    </w:p>
    <w:p>
      <w:pPr>
        <w:keepNext w:val="0"/>
        <w:keepLines w:val="0"/>
        <w:pageBreakBefore w:val="0"/>
        <w:widowControl w:val="0"/>
        <w:kinsoku/>
        <w:wordWrap/>
        <w:overflowPunct/>
        <w:topLinePunct w:val="0"/>
        <w:autoSpaceDE/>
        <w:autoSpaceDN/>
        <w:bidi w:val="0"/>
        <w:adjustRightInd w:val="0"/>
        <w:snapToGrid w:val="0"/>
        <w:spacing w:line="400" w:lineRule="exact"/>
        <w:ind w:firstLine="600" w:firstLineChars="200"/>
        <w:jc w:val="both"/>
        <w:textAlignment w:val="auto"/>
        <w:rPr>
          <w:rFonts w:hint="default" w:ascii="Times New Roman" w:hAnsi="Times New Roman" w:eastAsia="楷体_GB2312" w:cs="Times New Roman"/>
          <w:color w:val="000000"/>
          <w:sz w:val="30"/>
          <w:szCs w:val="30"/>
        </w:rPr>
      </w:pPr>
      <w:r>
        <w:rPr>
          <w:rFonts w:hint="default" w:ascii="Times New Roman" w:hAnsi="Times New Roman" w:eastAsia="楷体_GB2312" w:cs="Times New Roman"/>
          <w:color w:val="000000"/>
          <w:sz w:val="30"/>
          <w:szCs w:val="30"/>
        </w:rPr>
        <w:t>（该指南在线填写“四川省软科学研究项目申报书”。指南咨询：卢忠伟 028-86668420）</w:t>
      </w: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黑体" w:cs="Times New Roman"/>
          <w:color w:val="000000" w:themeColor="text1"/>
          <w:sz w:val="32"/>
          <w:szCs w:val="32"/>
          <w:lang w:eastAsia="zh-CN"/>
          <w14:textFill>
            <w14:solidFill>
              <w14:schemeClr w14:val="tx1"/>
            </w14:solidFill>
          </w14:textFill>
        </w:rPr>
      </w:pP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黑体" w:cs="Times New Roman"/>
          <w:color w:val="000000" w:themeColor="text1"/>
          <w:sz w:val="32"/>
          <w:szCs w:val="32"/>
          <w14:textFill>
            <w14:solidFill>
              <w14:schemeClr w14:val="tx1"/>
            </w14:solidFill>
          </w14:textFill>
        </w:rPr>
      </w:pPr>
      <w:r>
        <w:rPr>
          <w:rFonts w:hint="default" w:ascii="Times New Roman" w:hAnsi="Times New Roman" w:eastAsia="黑体" w:cs="Times New Roman"/>
          <w:color w:val="000000" w:themeColor="text1"/>
          <w:sz w:val="32"/>
          <w:szCs w:val="32"/>
          <w:lang w:eastAsia="zh-CN"/>
          <w14:textFill>
            <w14:solidFill>
              <w14:schemeClr w14:val="tx1"/>
            </w14:solidFill>
          </w14:textFill>
        </w:rPr>
        <w:t>——</w:t>
      </w:r>
      <w:r>
        <w:rPr>
          <w:rFonts w:hint="default" w:ascii="Times New Roman" w:hAnsi="Times New Roman" w:eastAsia="黑体" w:cs="Times New Roman"/>
          <w:color w:val="000000" w:themeColor="text1"/>
          <w:sz w:val="32"/>
          <w:szCs w:val="32"/>
          <w14:textFill>
            <w14:solidFill>
              <w14:schemeClr w14:val="tx1"/>
            </w14:solidFill>
          </w14:textFill>
        </w:rPr>
        <w:t>总体绩效目标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形成决策咨询报告300份以上，政策建议600条以上，课题研究报告300篇以上，论文300篇以上。</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黑体" w:cs="Times New Roman"/>
          <w:color w:val="000000" w:themeColor="text1"/>
          <w:sz w:val="32"/>
          <w:szCs w:val="32"/>
          <w14:textFill>
            <w14:solidFill>
              <w14:schemeClr w14:val="tx1"/>
            </w14:solidFill>
          </w14:textFill>
        </w:rPr>
      </w:pPr>
      <w:r>
        <w:rPr>
          <w:rFonts w:hint="default" w:ascii="Times New Roman" w:hAnsi="Times New Roman" w:eastAsia="黑体" w:cs="Times New Roman"/>
          <w:color w:val="000000" w:themeColor="text1"/>
          <w:sz w:val="32"/>
          <w:szCs w:val="32"/>
          <w:lang w:eastAsia="zh-CN"/>
          <w14:textFill>
            <w14:solidFill>
              <w14:schemeClr w14:val="tx1"/>
            </w14:solidFill>
          </w14:textFill>
        </w:rPr>
        <w:t>——</w:t>
      </w:r>
      <w:r>
        <w:rPr>
          <w:rFonts w:hint="default" w:ascii="Times New Roman" w:hAnsi="Times New Roman" w:eastAsia="黑体" w:cs="Times New Roman"/>
          <w:color w:val="000000" w:themeColor="text1"/>
          <w:sz w:val="32"/>
          <w:szCs w:val="32"/>
          <w14:textFill>
            <w14:solidFill>
              <w14:schemeClr w14:val="tx1"/>
            </w14:solidFill>
          </w14:textFill>
        </w:rPr>
        <w:t>资金支持方式</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采取前补助支持方式。</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黑体" w:cs="Times New Roman"/>
          <w:color w:val="000000" w:themeColor="text1"/>
          <w:sz w:val="32"/>
          <w:szCs w:val="32"/>
          <w:lang w:eastAsia="zh-CN"/>
          <w14:textFill>
            <w14:solidFill>
              <w14:schemeClr w14:val="tx1"/>
            </w14:solidFill>
          </w14:textFill>
        </w:rPr>
        <w:t>——</w:t>
      </w:r>
      <w:r>
        <w:rPr>
          <w:rFonts w:hint="default" w:ascii="Times New Roman" w:hAnsi="Times New Roman" w:eastAsia="黑体" w:cs="Times New Roman"/>
          <w:color w:val="000000" w:themeColor="text1"/>
          <w:sz w:val="32"/>
          <w:szCs w:val="32"/>
          <w14:textFill>
            <w14:solidFill>
              <w14:schemeClr w14:val="tx1"/>
            </w14:solidFill>
          </w14:textFill>
        </w:rPr>
        <w:t>支持类型和经费</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按照决策支撑类项目、决策参考类项目2种类型进行管理。</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1.决策支撑类项目：采取定向委托方式组织申报，由省直有关部门（单位）、有关市（州）科技局、有关中央在川高校院所和四川省软科学研究基地负责组织。申报经费不超过20万元，具体以指南条目要求为准。</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2.决策参考类项目：采取竞争立项方式组织申报</w:t>
      </w:r>
      <w:r>
        <w:rPr>
          <w:rFonts w:hint="default" w:ascii="Times New Roman" w:hAnsi="Times New Roman" w:eastAsia="仿宋_GB2312" w:cs="Times New Roman"/>
          <w:color w:val="000000" w:themeColor="text1"/>
          <w:kern w:val="0"/>
          <w:sz w:val="32"/>
          <w:szCs w:val="32"/>
          <w14:textFill>
            <w14:solidFill>
              <w14:schemeClr w14:val="tx1"/>
            </w14:solidFill>
          </w14:textFill>
        </w:rPr>
        <w:t>，</w:t>
      </w:r>
      <w:r>
        <w:rPr>
          <w:rFonts w:hint="default" w:ascii="Times New Roman" w:hAnsi="Times New Roman" w:eastAsia="仿宋_GB2312" w:cs="Times New Roman"/>
          <w:color w:val="000000" w:themeColor="text1"/>
          <w:sz w:val="32"/>
          <w:szCs w:val="32"/>
          <w14:textFill>
            <w14:solidFill>
              <w14:schemeClr w14:val="tx1"/>
            </w14:solidFill>
          </w14:textFill>
        </w:rPr>
        <w:t>申报经费不超过5万元。</w:t>
      </w:r>
      <w:r>
        <w:rPr>
          <w:rFonts w:hint="default" w:ascii="Times New Roman" w:hAnsi="Times New Roman" w:eastAsia="仿宋_GB2312" w:cs="Times New Roman"/>
          <w:color w:val="000000" w:themeColor="text1"/>
          <w:kern w:val="0"/>
          <w:sz w:val="32"/>
          <w:szCs w:val="32"/>
          <w14:textFill>
            <w14:solidFill>
              <w14:schemeClr w14:val="tx1"/>
            </w14:solidFill>
          </w14:textFill>
        </w:rPr>
        <w:t>省直有关部门或市（州）政府出具重点工作推荐函的项目可优先支持。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黑体" w:cs="Times New Roman"/>
          <w:color w:val="000000" w:themeColor="text1"/>
          <w:kern w:val="0"/>
          <w:sz w:val="32"/>
          <w:szCs w:val="32"/>
          <w14:textFill>
            <w14:solidFill>
              <w14:schemeClr w14:val="tx1"/>
            </w14:solidFill>
          </w14:textFill>
        </w:rPr>
      </w:pPr>
      <w:r>
        <w:rPr>
          <w:rFonts w:hint="default" w:ascii="Times New Roman" w:hAnsi="Times New Roman" w:eastAsia="黑体" w:cs="Times New Roman"/>
          <w:color w:val="000000" w:themeColor="text1"/>
          <w:kern w:val="0"/>
          <w:sz w:val="32"/>
          <w:szCs w:val="32"/>
          <w:lang w:eastAsia="zh-CN"/>
          <w14:textFill>
            <w14:solidFill>
              <w14:schemeClr w14:val="tx1"/>
            </w14:solidFill>
          </w14:textFill>
        </w:rPr>
        <w:t>——</w:t>
      </w:r>
      <w:r>
        <w:rPr>
          <w:rFonts w:hint="default" w:ascii="Times New Roman" w:hAnsi="Times New Roman" w:eastAsia="黑体" w:cs="Times New Roman"/>
          <w:color w:val="000000" w:themeColor="text1"/>
          <w:kern w:val="0"/>
          <w:sz w:val="32"/>
          <w:szCs w:val="32"/>
          <w14:textFill>
            <w14:solidFill>
              <w14:schemeClr w14:val="tx1"/>
            </w14:solidFill>
          </w14:textFill>
        </w:rPr>
        <w:t>实施周期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原则上为2年，2024年1月至2025年12月，2024年12月底前基本完成项目研究，2025年12月底前完成项目验收。</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决策支撑类项目立项后半年内提交初步研究成果，决策参考类项目应根据工作需要及时提交研究报告。</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黑体" w:cs="Times New Roman"/>
          <w:color w:val="000000" w:themeColor="text1"/>
          <w:kern w:val="0"/>
          <w:sz w:val="32"/>
          <w:szCs w:val="32"/>
          <w14:textFill>
            <w14:solidFill>
              <w14:schemeClr w14:val="tx1"/>
            </w14:solidFill>
          </w14:textFill>
        </w:rPr>
      </w:pPr>
      <w:r>
        <w:rPr>
          <w:rFonts w:hint="default" w:ascii="Times New Roman" w:hAnsi="Times New Roman" w:eastAsia="黑体" w:cs="Times New Roman"/>
          <w:color w:val="000000" w:themeColor="text1"/>
          <w:kern w:val="0"/>
          <w:sz w:val="32"/>
          <w:szCs w:val="32"/>
          <w:lang w:eastAsia="zh-CN"/>
          <w14:textFill>
            <w14:solidFill>
              <w14:schemeClr w14:val="tx1"/>
            </w14:solidFill>
          </w14:textFill>
        </w:rPr>
        <w:t>——</w:t>
      </w:r>
      <w:r>
        <w:rPr>
          <w:rFonts w:hint="default" w:ascii="Times New Roman" w:hAnsi="Times New Roman" w:eastAsia="黑体" w:cs="Times New Roman"/>
          <w:color w:val="000000" w:themeColor="text1"/>
          <w:kern w:val="0"/>
          <w:sz w:val="32"/>
          <w:szCs w:val="32"/>
          <w14:textFill>
            <w14:solidFill>
              <w14:schemeClr w14:val="tx1"/>
            </w14:solidFill>
          </w14:textFill>
        </w:rPr>
        <w:t>支持重点</w:t>
      </w:r>
    </w:p>
    <w:p>
      <w:pPr>
        <w:keepNext w:val="0"/>
        <w:keepLines w:val="0"/>
        <w:pageBreakBefore w:val="0"/>
        <w:kinsoku/>
        <w:wordWrap/>
        <w:overflowPunct/>
        <w:topLinePunct w:val="0"/>
        <w:autoSpaceDE/>
        <w:autoSpaceDN/>
        <w:bidi w:val="0"/>
        <w:spacing w:line="560" w:lineRule="exact"/>
        <w:ind w:firstLine="640" w:firstLineChars="200"/>
        <w:jc w:val="both"/>
        <w:textAlignment w:val="auto"/>
        <w:outlineLvl w:val="1"/>
        <w:rPr>
          <w:rFonts w:hint="default" w:ascii="Times New Roman" w:hAnsi="Times New Roman" w:eastAsia="楷体_GB2312" w:cs="Times New Roman"/>
          <w:color w:val="000000" w:themeColor="text1"/>
          <w:sz w:val="32"/>
          <w:szCs w:val="32"/>
          <w14:textFill>
            <w14:solidFill>
              <w14:schemeClr w14:val="tx1"/>
            </w14:solidFill>
          </w14:textFill>
        </w:rPr>
      </w:pPr>
      <w:r>
        <w:rPr>
          <w:rFonts w:hint="default" w:ascii="Times New Roman" w:hAnsi="Times New Roman" w:eastAsia="楷体_GB2312" w:cs="Times New Roman"/>
          <w:color w:val="000000" w:themeColor="text1"/>
          <w:kern w:val="0"/>
          <w:sz w:val="32"/>
          <w:szCs w:val="32"/>
          <w14:textFill>
            <w14:solidFill>
              <w14:schemeClr w14:val="tx1"/>
            </w14:solidFill>
          </w14:textFill>
        </w:rPr>
        <w:t>（一）决策支撑类项目。</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有关说明：项目在以下拟定的课题中进行申报，严格按照课题名称和研究内容申报，每个课题拟支持1个项目。</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pacing w:val="-6"/>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1.</w:t>
      </w:r>
      <w:r>
        <w:rPr>
          <w:rFonts w:hint="default" w:ascii="Times New Roman" w:hAnsi="Times New Roman" w:eastAsia="仿宋_GB2312" w:cs="Times New Roman"/>
          <w:color w:val="000000" w:themeColor="text1"/>
          <w:spacing w:val="-6"/>
          <w:sz w:val="32"/>
          <w:szCs w:val="32"/>
          <w14:textFill>
            <w14:solidFill>
              <w14:schemeClr w14:val="tx1"/>
            </w14:solidFill>
          </w14:textFill>
        </w:rPr>
        <w:t>以中国式现代化引领四川现代化建设统计监测体系研究。</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研究内容：结合四川现代化的总体要求和特征，参照“十四五”规划发展目标，科学构建四川现代化统计监测体系，形成四川现代化统计监测体系，撰写四川现代化发展统计监测报告。</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考核指标：向科技厅和省统计局报送决策咨询报告1份、政策建议3条，形成课题研究报告1篇，其他1项（四川现代化发展统计监测报告1份）。</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有关说明：该课题由省统计局组织并出具推荐函，商相关归口单位推荐上报，限推荐1项，申报经费不超过10万元。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2.四川省未来产业培育发展方向及路径研究。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研究内容：围绕四川未来产业发展需求，开展理论体系、现状摸底、方向筛选、路径举措等研究，形成加快培育发展未来产业的政策建议和研究报告，并为未来产业前沿研究奠定基础。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考核指标：向科技厅报送决策咨询报告2份、政策建议5条，形成课题研究报告1篇、论文1篇。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有关说明：该课题由区域协同创新四川省软科学研究基地承建单位组织，商相关归口单位推荐上报，限推荐1项，申报经费不超过20万元。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3.强化科技支撑助力宜宾新型工业化发展的路径分析研究。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研究内容：聚焦科技创新支持新型工业化突出问题，以宜宾市为重点，开展理论体系、政策制度等研究，形成强化科技支撑助力新型工业化发展的研究报告和政策建议。</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考核指标：向科技厅和宜宾市委市政府报送决策咨询报告1份、政策建议3条，形成课题研究报告1篇、论文1篇。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有关说明：该课题由宜宾市科技局组织并出具推荐函，商相关归口单位推荐上报，限推荐1项，申报经费不超过10万元。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4.四川元宇宙相关产业战略发展研究。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研究内容：围绕推动四川元宇宙产业发展，分析我省元宇宙产业发展现状、优势与问题，开展技术路线、发展方向、政策制度等研究，提出元宇宙产业发展技术路线图谱和政策建议。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考核指标：向科技厅报送决策咨询报告1份、政策建议3条，形成课题研究报告1篇、论文1篇、其他1项（技术攻关路线图1份）</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有关说明：该课题由科技厅组织并出具推荐函，商相关归口单位推荐上报，限推荐1项，申报经费不超过10万元。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pacing w:val="-6"/>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5.</w:t>
      </w:r>
      <w:r>
        <w:rPr>
          <w:rFonts w:hint="default" w:ascii="Times New Roman" w:hAnsi="Times New Roman" w:eastAsia="仿宋_GB2312" w:cs="Times New Roman"/>
          <w:color w:val="000000" w:themeColor="text1"/>
          <w:spacing w:val="-6"/>
          <w:sz w:val="32"/>
          <w:szCs w:val="32"/>
          <w14:textFill>
            <w14:solidFill>
              <w14:schemeClr w14:val="tx1"/>
            </w14:solidFill>
          </w14:textFill>
        </w:rPr>
        <w:t>大健康产业集聚区域的经济增长效应及发展路径优化研究。</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研究内容：通过论证大健康产业集聚对区域经济增长的作用机理，分析大健康产业链、创新链和服务链融合的理论内涵，提出大健康产业集群与区域经济协同的有关政策建议。</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考核指标：向科技厅和泸州市委市政府报送决策咨询报告1份、政策建议3条，形成课题研究报告1篇、论文1篇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有关说明：该课题由泸州市科技和人才局组织并出具推荐函，商相关归口单位推荐上报，限推荐1项，申报经费不超过10万元。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6.四川省数字文旅经济发展模式与路径优化研究。</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研究内容：分析数字文旅经济不同于传统文旅经济的内涵和特征，梳理四川数字文旅经济发展存在的问题，研究提出发展模式和路径选择，以及相应的政策体系和机制建设的对策建议。</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考核指标：向科技厅和文化和旅游厅报送决策咨询报告1份、政策建议3条，形成课题研究报告1篇、论文1篇。</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有关说明：该课题由文化和旅游厅组织并出具推荐函，商相关归口单位推荐上报，限推荐1项，申报经费不超过10万元。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7.加快建设中国特色社会主义科技创新先行区的地方支持政策研究。</w:t>
      </w:r>
    </w:p>
    <w:p>
      <w:pPr>
        <w:keepNext w:val="0"/>
        <w:keepLines w:val="0"/>
        <w:pageBreakBefore w:val="0"/>
        <w:kinsoku/>
        <w:wordWrap/>
        <w:overflowPunct/>
        <w:topLinePunct w:val="0"/>
        <w:autoSpaceDE/>
        <w:autoSpaceDN/>
        <w:bidi w:val="0"/>
        <w:spacing w:line="560" w:lineRule="exact"/>
        <w:ind w:firstLine="624" w:firstLineChars="200"/>
        <w:jc w:val="both"/>
        <w:textAlignment w:val="auto"/>
        <w:rPr>
          <w:rFonts w:hint="default" w:ascii="Times New Roman" w:hAnsi="Times New Roman" w:eastAsia="仿宋_GB2312" w:cs="Times New Roman"/>
          <w:color w:val="000000" w:themeColor="text1"/>
          <w:spacing w:val="-4"/>
          <w:sz w:val="32"/>
          <w:szCs w:val="32"/>
          <w14:textFill>
            <w14:solidFill>
              <w14:schemeClr w14:val="tx1"/>
            </w14:solidFill>
          </w14:textFill>
        </w:rPr>
      </w:pPr>
      <w:r>
        <w:rPr>
          <w:rFonts w:hint="default" w:ascii="Times New Roman" w:hAnsi="Times New Roman" w:eastAsia="仿宋_GB2312" w:cs="Times New Roman"/>
          <w:color w:val="000000" w:themeColor="text1"/>
          <w:spacing w:val="-4"/>
          <w:sz w:val="32"/>
          <w:szCs w:val="32"/>
          <w14:textFill>
            <w14:solidFill>
              <w14:schemeClr w14:val="tx1"/>
            </w14:solidFill>
          </w14:textFill>
        </w:rPr>
        <w:t>研究内容：围绕加快建设中国特色社会主义科技创新先行区难点、堵点和痛点，聚焦优先领域与动力机制、战略谐动与治理协同体系、制度安排与政策供给体系，提出</w:t>
      </w:r>
      <w:r>
        <w:rPr>
          <w:rFonts w:hint="default" w:ascii="Times New Roman" w:hAnsi="Times New Roman" w:eastAsia="仿宋_GB2312" w:cs="Times New Roman"/>
          <w:color w:val="000000" w:themeColor="text1"/>
          <w:sz w:val="32"/>
          <w:szCs w:val="32"/>
          <w14:textFill>
            <w14:solidFill>
              <w14:schemeClr w14:val="tx1"/>
            </w14:solidFill>
          </w14:textFill>
        </w:rPr>
        <w:t>加快建设中国特色社会主义科技创新先行区</w:t>
      </w:r>
      <w:r>
        <w:rPr>
          <w:rFonts w:hint="default" w:ascii="Times New Roman" w:hAnsi="Times New Roman" w:eastAsia="仿宋_GB2312" w:cs="Times New Roman"/>
          <w:color w:val="000000" w:themeColor="text1"/>
          <w:spacing w:val="-4"/>
          <w:sz w:val="32"/>
          <w:szCs w:val="32"/>
          <w14:textFill>
            <w14:solidFill>
              <w14:schemeClr w14:val="tx1"/>
            </w14:solidFill>
          </w14:textFill>
        </w:rPr>
        <w:t>的地方支持政策建议。</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考核指标：向科技厅和绵阳市委市政府报送决策咨询报告1份、政策建议5条，形成课题研究报告1篇、论文2篇。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有关说明：该课题由绵阳市科技局组织并出具推荐函，商相关归口单位推荐上报，限推荐1项，申报经费不超过15万元。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8.促进西部科学城高质量建设运营路径研究。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围绕西部科学城建设的指导、考核、协同等工作机制运行情况，研究西部科学城运营的方法、路径和支持举措，形成我省推动西部科学城建设的总体规划、实施方案和相关工作机制，为进一步推动西部科学城建设提供参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考核指标：向科技厅报送决策咨询报告1份、政策建议5条，形成课题研究报告1篇、论文1篇。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有关说明：该课题由区域协同创新四川省软科学研究基地承建单位组织，商相关归口单位推荐上报，限推荐1项，申报经费不超过15万元。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9.万达开技术创新中心建设现状与对策研究。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研究内容：重点就万达开技术创新中心建设目的、现实困境和突围路径进行研究，形成推动万达开技术创新中心更好更快建设的政策建议和研究报告。</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考核指标：向科技厅和达州市委市政府报送决策咨询报告1份、政策建议3条，形成课题研究报告1篇、论文1篇。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有关说明：该课题由达州市科技局组织并出具推荐函，商相关归口单位推荐上报，限推荐1项，申报经费不超过10万元。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10.成渝中线科创走廊建设方案研究。</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研究内容：围绕推动成渝中部崛起，重点开展成渝科创走廊的总体定位、空间布局、重点任务等研究，形成成渝中线科创走廊建设方案研究报告。</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考核指标：向科技厅报送决策咨询报告2份、政策建议5条，形成课题研究报告1篇、其他1项（成渝中线科创走廊建设方案1份）。</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有关说明：该课题由科技厅组织并出具推荐函，商相关归口单位推荐上报，限推荐1项，申报经费不超过20万元。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11.川渝毗邻地区融合创新发展问题研究。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聚焦川渝毗邻地区创新要素集聚不够、创新支撑发展能力不强等问题，重点开展川渝毗邻地区融合创新发展的现状问题、理论基础、发展模式、政策制度等研究，形成推动省际毗邻地区跨界融合创新发展的政策建议和研究报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考核指标：向科技厅报送决策咨询报告2份、政策建议5条，形成课题研究报告1篇、论文1篇。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有关说明：该课题由科技战略咨询四川省软科学研究基地承建单位组织，商相关归口单位推荐上报，限推荐1项，申报经费不超过20万元。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12.以科技创新为引擎推动盆周地区高质量发展路径研究—以广安为例。</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研究内容：以广安市科技创新为案例，分析盆周山区科技创新的现状以及存在的不足，提出适合西部欠发达地区的科技创新框架和路径，为省内及周边区域科技创新发展提供参考。</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考核指标：向科技厅和广安市委市政府报送决策咨询报告1份、政策建议3条，形成课题研究报告1篇、论文1篇。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有关说明：该课题由广安市科技局组织并出具推荐函，商相关归口单位推荐上报，限推荐1项，申报经费不超过10万元。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pacing w:val="-6"/>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13.</w:t>
      </w:r>
      <w:r>
        <w:rPr>
          <w:rFonts w:hint="default" w:ascii="Times New Roman" w:hAnsi="Times New Roman" w:eastAsia="仿宋_GB2312" w:cs="Times New Roman"/>
          <w:color w:val="000000" w:themeColor="text1"/>
          <w:spacing w:val="-6"/>
          <w:sz w:val="32"/>
          <w:szCs w:val="32"/>
          <w14:textFill>
            <w14:solidFill>
              <w14:schemeClr w14:val="tx1"/>
            </w14:solidFill>
          </w14:textFill>
        </w:rPr>
        <w:t>川东北丘陵地区县域内城乡融合发展路径及政策研究。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围绕空间布局、产业融合、公共服务等重点领域分析川东北地区城乡融合进程中所面临的问题，探索完善城乡融合发展指标体系，为川东北地区乃至全省制定切实可行、富有针对性的城乡融合发展政策提供参考。</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考核指标：向科技厅和南充市委市政府报送决策咨询报告1份、政策建议3条，形成课题研究报告1篇、论文1篇。</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有关说明：该课题由南充市科技局组织并出具推荐函，商相关归口单位推荐上报，限推荐1项，申报经费不超过10万元。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14.新时代推动四川省县域经济高质量发展路径研究。</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立足四川县域经济发展阶段，围绕高质量发展首要任务，重点开展县域经济发展思路、发展方式、发展模式等研究，形成推动新时代我省县域经济高质量发展的政策建议，为我省县域经济高质量发展提供决策参考。</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考核指标：向科技厅和省直有关部门报送决策咨询报告1份、政策建议3条，形成课题研究报告1篇、论文1篇。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有关说明：该课题由省发展改革委组织并出具推荐函，商相关归口单位推荐上报，限推荐1项，申报经费不超过10万元。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15.四川市县科技创新能力评价及提升路径研究。</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研究内容：针对不同主体功能区和不同经济区县域科技创新，研究形成县域科技工作指导清单，构建农业科技进步贡献率计算方法和统计体系，为更好推动县域科技工作提供参考。</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考核指标：向科技厅报送决策咨询报告1份、政策建议3条，形成课题研究报告1篇、论文1篇。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有关说明：该课题由科技厅组织并出具推荐函，商相关归口单位推荐上报，限推荐1项，申报经费不超过10万元。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16.攀西战略资源创新开发试验区重大科技攻关专项实施评价及对策研究。</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研究内容：全面总结攀枝花攀西战略资源创新开发试验区重大科技攻关取得的成效和存在的问题，提出优化方案和合理化建议，为新时代攀西战略资源创新开发试验区建设决策提供参考。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考核指标：向科技厅和攀枝花市委市政府报送决策咨询报告1份、政策建议3条，形成课题研究报告1篇、论文1篇。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有关说明：该课题由攀枝花市科技局组织并出具推荐函，商相关归口单位推荐上报，限推荐1项，申报经费不超过10万元。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17.四川省重点实验室优化重组路径研究。</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研究内容：总结提炼</w:t>
      </w:r>
      <w:r>
        <w:rPr>
          <w:rFonts w:hint="default" w:ascii="Times New Roman" w:hAnsi="Times New Roman" w:eastAsia="仿宋_GB2312" w:cs="Times New Roman"/>
          <w:color w:val="000000" w:themeColor="text1"/>
          <w:sz w:val="32"/>
          <w:szCs w:val="32"/>
          <w:lang w:eastAsia="zh-CN"/>
          <w14:textFill>
            <w14:solidFill>
              <w14:schemeClr w14:val="tx1"/>
            </w14:solidFill>
          </w14:textFill>
        </w:rPr>
        <w:t>全国重点实验室/国家重点实验室</w:t>
      </w:r>
      <w:r>
        <w:rPr>
          <w:rFonts w:hint="default" w:ascii="Times New Roman" w:hAnsi="Times New Roman" w:eastAsia="仿宋_GB2312" w:cs="Times New Roman"/>
          <w:color w:val="000000" w:themeColor="text1"/>
          <w:sz w:val="32"/>
          <w:szCs w:val="32"/>
          <w14:textFill>
            <w14:solidFill>
              <w14:schemeClr w14:val="tx1"/>
            </w14:solidFill>
          </w14:textFill>
        </w:rPr>
        <w:t>及其他省（市、区）重点实验室优化重组经验，研究提出省级重点实验室优化重组的要点方向，探索四川省重点实验室优化重组的路径。</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考核指标：向科技厅和省直有关部门报送决策咨询报告1份、政策建议3条，形成课题研究报告1篇。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有关说明：该课题由科技厅组织并出具推荐函，商相关归口单位推荐上报，限推荐1项，申报经费不超过10万元。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18.四川省基础研究发展现状调查及对策建议研究。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研究内容：重点从基础研究人才、投入、成果、环境等方面分析四川基础研究现状，探寻四川基础研究存在的问题及其原因，提出新形势下提升四川基础研究能力的对策建议。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考核指标：向科技厅报送决策咨询报告2份、政策建议5条，形成课题研究报告1篇。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有关说明：该课题由科技战略咨询四川省软科学研究基地承建单位组织申报，商相关归口单位推荐上报，限推荐1项，申报经费不超过20万元。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19.</w:t>
      </w:r>
      <w:r>
        <w:rPr>
          <w:rFonts w:hint="default" w:ascii="Times New Roman" w:hAnsi="Times New Roman" w:eastAsia="仿宋_GB2312" w:cs="Times New Roman"/>
          <w:color w:val="000000" w:themeColor="text1"/>
          <w:spacing w:val="-6"/>
          <w:sz w:val="32"/>
          <w:szCs w:val="32"/>
          <w14:textFill>
            <w14:solidFill>
              <w14:schemeClr w14:val="tx1"/>
            </w14:solidFill>
          </w14:textFill>
        </w:rPr>
        <w:t>区域创新发展联合基金（四川）实施机制及绩效评价研究。</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研究内容：开展区域创新发展联合基金（四川）目标定位与资助格局研究，分析管理现状与存在问题，评估基金实施以来的绩效与成果，提出区域创新发展联合基金（四川）管理模式优化和持续发展的政策建议。</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考核指标：向科技厅报送决策咨询报告1份、政策建议3条，形成课题研究报告1篇、论文1篇。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有关说明：该课题由四川大学组织并出具推荐函，商相关归口单位推荐上报，限推荐1项，申报经费不超过10万元。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20.地方政府依托企业推动天府实验室建设路径研究。</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研究内容：分析研究全省天府实验室建设模式，立足德阳市科技创新和产业发展需求，研究提出政府持续支持、企业主动推动的建设天府（旌湖）实验室的对策建议。</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考核指标：向科技厅和德阳市委市政府报送决策咨询报告1份、政策建议3条，形成课题研究报告1篇。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有关说明：该课题由德阳市科技局组织并出具推荐函，商相关归口单位推荐上报，限推荐1项，申报经费不超过10万元。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21.四川省重大科技成果发现、遴选与管理机制研究。</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研究内容：重点开展四川重大科技成果发现机制、遴选、评价及管理模式研究，分析提出省市县联动、产学研协同的重大科技成果揭示、遴选模式和发布机制，形成政策建议与研究报告。</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考核指标：向科技厅报送决策咨询报告1份、政策建议3条，形成课题研究报告1篇、论文1篇。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有关说明：该课题由科技厅组织并出具推荐函，商相关归口单位推荐上报，限推荐1项，申报经费不超过10万元。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22.深化校院企地融合发展助力“聚源兴川”实现路径研究。</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研究内容：聚焦中央在川大院大所创新资源优势，深入调研“央字头”大院大所校院地合作的重点需求和进展情况，在联合开展科技攻关、推动重大科技成果转化等方面提出政策建议。</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考核指标：向科技厅和成都市委市政府报送决策咨询报告1份、政策建议3条，形成课题研究报告1篇、论文1篇。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有关说明：该课题由成都市科技局组织并出具推荐函，商相关归口单位推荐上报，限推荐1项，申报经费不超过15万元。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pacing w:val="-6"/>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23.</w:t>
      </w:r>
      <w:r>
        <w:rPr>
          <w:rFonts w:hint="default" w:ascii="Times New Roman" w:hAnsi="Times New Roman" w:eastAsia="仿宋_GB2312" w:cs="Times New Roman"/>
          <w:color w:val="000000" w:themeColor="text1"/>
          <w:spacing w:val="-6"/>
          <w:sz w:val="32"/>
          <w:szCs w:val="32"/>
          <w14:textFill>
            <w14:solidFill>
              <w14:schemeClr w14:val="tx1"/>
            </w14:solidFill>
          </w14:textFill>
        </w:rPr>
        <w:t>成眉协同推动重大科技成果转化的路径及影响因素研究。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研究内容：针对重大科技成果转化影响因素、转化效率等问题，研究构建成果转化生态管理制度，提出眉山在成眉产业带和科创走廊建设背景下推动科技成果转化的具体路径。</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考核指标：向科技厅和眉山市委市政府报送决策咨询报告1份、政策建议3条，形成课题研究报告1篇、论文2篇。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有关说明：该课题由眉山市科技局组织并出具推荐函，商相关归口单位推荐上报，限推荐1项，申报经费不超过10万元。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24.自贡科技成果转化中试基地建设模式与运行机制研究。</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研究内容：围绕自贡新能源、新型化工、先进材料、无人机及通航产业，探索技术成果熟化、促进产业发展的有效途径，形成具有创新性的自贡中试基地建设模式和运行机制建议。</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考核指标：向科技厅和自贡市委市政府报送决策咨询报告1份、政策建议3条，形成课题研究报告1篇、论文1篇。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有关说明：该课题由自贡市科技局组织并出具推荐函，商相关归口单位推荐上报，限推荐1项，申报经费不超过10万元。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25.科研企业先进国防科技民用转化模式及政策制度研究。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研究内容：聚焦军民科技协同创新和成果转化，重点开展理论体系、管理机制、建设模式、政策制度等研究，形成推动建设军事科研企业的先进国防科技民用转化的政策建议和研究报告。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考核指标：向科技厅和绵阳市委市政府报送决策咨询报告1份、政策建议3条，形成课题研究报告1篇、论文1篇。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有关说明：该课题由绵阳市科技局组织并出具推荐函，商相关归口单位推荐上报，限推荐1项，申报经费不超过10万元。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26.</w:t>
      </w:r>
      <w:r>
        <w:rPr>
          <w:rFonts w:hint="default" w:ascii="Times New Roman" w:hAnsi="Times New Roman" w:eastAsia="仿宋_GB2312" w:cs="Times New Roman"/>
          <w:color w:val="000000" w:themeColor="text1"/>
          <w:spacing w:val="-6"/>
          <w:sz w:val="32"/>
          <w:szCs w:val="32"/>
          <w14:textFill>
            <w14:solidFill>
              <w14:schemeClr w14:val="tx1"/>
            </w14:solidFill>
          </w14:textFill>
        </w:rPr>
        <w:t>科研院所主导的政产学研创新推广联合体建设模式研究</w:t>
      </w:r>
      <w:r>
        <w:rPr>
          <w:rFonts w:hint="default" w:ascii="Times New Roman" w:hAnsi="Times New Roman" w:eastAsia="仿宋_GB2312" w:cs="Times New Roman"/>
          <w:color w:val="000000" w:themeColor="text1"/>
          <w:sz w:val="32"/>
          <w:szCs w:val="32"/>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围绕四川区域性产学研协同创新能力不足、政研企推广体系融合度不高等现实问题，开展协同创新和协同推广政策制度、建设模式、运行机制等研究，形成建设科研院所主导的区域性专业性产学研协同创新和成果推广联合体的政策建议。</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考核指标：向科技厅报送决策咨询报告1份、政策建议3条，形成课题研究报告1篇、论文1篇。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有关说明：该课题由科技厅组织并出具推荐函，商相关归口单位推荐上报，限推荐1项，申报经费不超过10万元。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27.完善创新主体培育战略助力经济高质量发展的研究—以资阳市为例。</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研究内容：围绕解决科技创新主体总体呈现规模不大、对地方经济发展贡献不高、招引企业面临质量压力等问题，重点开展支持政策、培育模式、主体地位等研究，形成推动科技创新主体创新发展的政策建议。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考核指标：向科技厅和资阳市委市政府报送决策咨询报告1份、政策建议3条，形成课题研究报告1篇。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有关说明：该课题由资阳市科技局组织并出具推荐函，商相关归口单位推荐上报，限推荐1项，申报经费不超过10万元。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28.四川省级重大科技人才政策评估问效研究。</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研究内容：针对重大科技人才计划落实情况开展评估问效，全面梳理政策执行成效，分析查找存在的困难问题，对标中央和省委新部署要求，研究提出科技人才计划政策优化的意见建议。</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考核指标：向科技厅报送决策咨询报告1份、政策建议4条，形成课题研究报告1篇、其他1项（评估报告1份）。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有关说明：该课题由科技战略咨询四川省软科学研究基地承建单位组织申报，商相关归口单位推荐上报，限推荐1项，申报经费不超过15万元。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29.科技激励改革背景下四川省激发科技人才创新创造活力研究。</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研究内容：分析研究四川省科技人才现状和现行政策，梳理科技人才激励面临的主要问题和障碍，提出构建有利于科技人员创新创造的激励政策的建议。</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考核指标：向科技厅和省直有关部门报送决策咨询报告1份、政策建议4条，形成课题研究报告1篇。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有关说明：该课题由科技战略咨询四川省软科学研究基地承建单位组织申报，商相关归口单位推荐上报，限推荐1项，申报经费不超过15万元。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30.基于新时代人才强省战略的青年科技人才队伍建设关键问题研究。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研究内容：结合新时代人才强省战略，研究分析制约青年科技人才发展的体制机制障碍，研究形成加强四川青年科技人才“引留培用”的政策举措，提出可供决策参考的对策建议。</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考核指标：向科技厅和省直有关部门报送决策咨询报告1份、政策建议3条，形成课题研究报告1篇。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有关说明：该课题由科技厅组织并出具推荐函，商相关归口单位推荐上报，限推荐1项，申报经费不超过10万元。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31.外国专家绩效评估指标体系构建研究。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研究内容：围绕解决外国专家“用得好”的现实问题，重点研究客观反映外国专家作用发挥、激发人才创新活力的政策举措，形成构建外国专家绩效评估体系的政策建议。</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考核指标：向科技厅和省直有关部门报送决策咨询报告1份、政策建议3条，形成课题研究报告1篇、论文1篇。</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有关说明：该课题由中共四川省委党校组织并出具推荐函，</w:t>
      </w:r>
      <w:r>
        <w:rPr>
          <w:rFonts w:hint="default" w:ascii="Times New Roman" w:hAnsi="Times New Roman" w:eastAsia="仿宋_GB2312" w:cs="Times New Roman"/>
          <w:color w:val="000000" w:themeColor="text1"/>
          <w:spacing w:val="-6"/>
          <w:sz w:val="32"/>
          <w:szCs w:val="32"/>
          <w14:textFill>
            <w14:solidFill>
              <w14:schemeClr w14:val="tx1"/>
            </w14:solidFill>
          </w14:textFill>
        </w:rPr>
        <w:t>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32.集成电路领域高端人才引进政策研究。</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研究内容：重点对四川集成电路领域人才存量与需求进行调研和分析，形成集成电路人才现状和需求分析报告，提出集成电路领域高端人才引进和人才保护的政策建议。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省直有关部门报送决策咨询报告1份、政策建议3条，形成课题研究报告1篇、论文1篇。有关说明：该课题由电子科技大学申报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33.乐山市打造晶硅光伏人才集聚新高地研究。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研究内容：围绕乐山晶硅光伏人才集聚的现状与发展诉求，剖析供需结构、专业技能适配矛盾等关键问题，开展系统调查、模式探索、政策制度等方面研究，提出乐山建成晶硅光伏产业人才创新创业的政策建议。</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考核指标：向科技厅和乐山市委市政府报送决策咨询报告1份、政策建议3条，形成课题研究报告1篇、论文1篇。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有关说明：该课题由乐山市科技局组织并出具推荐函，商相关归口单位推荐上报，限推荐1项，申报经费不超过10万元。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34.成渝地区双城经济圈国家卓越工程师创新研究院建设路径研究。</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研究内容：围绕成渝地区双城经济圈国家卓越工程师创新研究院建设需求，重点开展建设目标、建设机理、建设路径、制度与保障等建设要素研究，提出研究院建设的路劲和政策建议。</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考核指标：向科技厅和教育厅报送决策咨询报告1份、政策建议3条，形成课题研究报告1篇、论文1篇。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有关说明：该课题由教育厅组织并出具推荐函，商相关归口单位推荐上报，限推荐1项，申报经费不超过10万元。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35.弘扬科学家精神培养优良学风与科研作风研究。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研究内容：围绕解决弘扬科学家精神、培养优良学风与科研作风的现实问题，重点开展科学家精神与优良学风与科研作风培养模式与路径、政策制度等研究，形成推动我省弘扬科学家精神 培养优良学风与科研作风的政策建议和研究报告。</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考核指标：向科技厅和省直有关部门报送决策咨询报告1份、政策建议5条，形成课题研究报告1篇、论文1篇。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有关说明：该课题中国工程物理研究院组织，商相关归口单位推荐上报，限推荐1项，申报经费不超过15万元。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36.四川省科技奖励制度成效评价与优化研究。</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研究内容：梳理四川科技奖励制度、科技奖项设置、科技奖励评审等方面工作现状，研究科技奖励成效评价指标体系及方法，提出优化科技奖励制度、提升科技奖励成效的政策建议。</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考核指标：向科技厅报送决策咨询报告1份、政策建议3条，形成课题研究报告1篇、论文1篇。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有关说明：该课题由中国科学院成都文献情报中心组织并出具推荐函，商相关归口单位推荐上报，限推荐1项，申报经费不超过10万元。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37.四川省科技伦理治理体系建设与实践研究。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围绕我省科技伦理治理工作的现实需求，通过专项调研重点开展科技伦理治理挑战分析、制度和机制建设、科技伦理治理的实践应用等研究，形成推动四川完善科技伦理治理体系的政策建议和研究报告。</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考核指标：向科技厅报送决策咨询报告1份、政策建议5条，形成课题研究报告1篇、论文1篇。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有关说明：该课题由科技战略咨询四川省软科学研究基地承建单位组织，商相关归口单位推荐上报，限推荐1项，申报经费不超过15万元。</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38.四川省科学数据汇交管理与科技报告价值挖掘研究。</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研究内容：聚焦科学数据、科技报告两个方面，开展科学数据统一汇交管理标准研究，深化科技报告价值挖掘及利用研究，分别形成推动科学数据高效有序汇交的政策建议和科技报告价值挖掘的研究报告。</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考核指标：向科技厅报送决策咨询报告1份、政策建议3条，形成课题研究报告2篇、论文1篇。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有关说明：该课题由科技厅组织并出具推荐函，商相关归口单位推荐上报，限推荐1项，申报经费不超过10万元。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39.四川省促进医研融合创新的政策研究。</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研究内容：调研四川科技支撑服务医疗健康发展现状，重点开展需求分析、顶层设计、运行机制、政策保障等研究，形成推动推动四川省医疗和科技融合创新发展的政策建议和研究报告。</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考核指标：向科技厅和省直有关部门报送决策咨询报告1份、政策建议3条，形成课题研究报告1篇、论文1篇。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有关说明：该课题由科技厅组织并出具推荐函，商相关归口单位推荐上报，限推荐1项，申报经费不超过10万元。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40.新时代四川省科普基地体系建设和创新发展研究。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研究内容：调研四川省科普基地发展现状和存在问题，结合特色科普基地建设，研究四川省科普基地提升运行成效的工作举措，提出符合时代要求的科普基地建设工作的政策建议。</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考核指标：向科技厅和省直有关部门报送决策咨询报告1份、政策建议3条，形成课题研究报告1篇。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有关说明：该课题由科技厅组织并出具推荐函，商相关归口单位推荐上报，限推荐1项，申报经费不超过10万元。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41.西部金融中心建设背景下科技金融服务体系优化与政策支持研究。</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立足四川省和成都市科技金融服务体系的现状与问题，重点从吸引创投机构、深化创投管理、创新科技金融产品、构建财政资金“以投代补”模式等视角，研究提出科技金融服务体系优化路径、政策支持等方面的建议。</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考核指标：向科技厅和成都市委市政府报送决策咨询报告1</w:t>
      </w:r>
      <w:r>
        <w:rPr>
          <w:rFonts w:hint="default" w:ascii="Times New Roman" w:hAnsi="Times New Roman" w:eastAsia="仿宋_GB2312" w:cs="Times New Roman"/>
          <w:color w:val="000000" w:themeColor="text1"/>
          <w:spacing w:val="-6"/>
          <w:sz w:val="32"/>
          <w:szCs w:val="32"/>
          <w14:textFill>
            <w14:solidFill>
              <w14:schemeClr w14:val="tx1"/>
            </w14:solidFill>
          </w14:textFill>
        </w:rPr>
        <w:t>份、政策建议3条，形成课题研究报告1篇、论文1篇、专著1部。</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有关说明：该课题由成都市科技局组织并出具推荐函，商相关归口单位推荐上报，限推荐1项，申报经费不超过10万元。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42.基于科技属性的企业融资评价体系研究。</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研究内容：聚焦科技型中小企业，开展以科技属性为重点的企业融资评价模型研究，探索建立准确动态的企业科技属性画像，在精准匹配有关金融产品、金融服务等方面提出政策建议。</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考核指标：向科技厅和省直有关部门报送决策咨询报告2份、政策建议5条，形成课题研究报告1篇、论文1篇。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有关说明：该课题由科技厅组织并出具推荐函，商相关归口单位推荐上报，限推荐1项，申报经费不超过20万元。</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43.重点国家（区域）科技创新战略及对策研究。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通过调研和文献研究系统梳理四川与日本、韩国、澳大利亚、新西兰等重点国家科技合作基础和成效、合作主体、合作需求等，分析创新技术发展趋势、科技创新政策最新动向，梳理提出合作方向和支持政策建议。</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考核指标：向科技厅报送决策咨询报告2份、政策建议3条，形成课题研究报告2篇、论文1篇。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有关说明：该课题由科技厅组织并出具推荐函，商相关归口单位推荐上报，限推荐1项，申报经费不超过10万元。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44.碳关税对四川外贸的影响及应对研究。</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研究内容：围绕国际贸易低碳壁垒应对与突破，以国际上有关碳关税为主要研究对象，系统分析碳关税运行原理和对贸易的影响机制，形成构建新型的对外贸易体系的政策建议。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考核指标：向科技厅和成都海关报送决策咨询报告1份、政策建议3条，形成课题研究报告1篇、论文1篇。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有关说明：该课题由成都海关组织并出具推荐函，商相关归口单位推荐上报，限推荐1项，申报经费不超过10万元。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45.深化拓展税电指数应用服务政府宏观经济决策研究。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研究内容：充分挖掘税电大数据价值，完成税电指数模型的指标体系构建，形成税务、电力、统计等多部门数据共享应用的相关政策和制度建设建议，服务地方党委政府宏观经济决策。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考核指标：向科技厅和省税务局报送决策咨询报告1份、政策建议3条，形成课题研究报告2篇、论文1篇。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有关说明：该课题由省税务局组织并出具推荐函，商相关归口单位推荐上报，限推荐1项，申报经费不超过10万元。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46.数智赋能内江优化营商环境调查研究。</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围绕内江“放管服”改革优化营商环境，重点开展基础设施智能化、政务服务在线化、数据运营无界化、平台信息交互化等研究，形成深化“放管服”改革、推动数智赋能优化营商环境的政策建议和研究报告。</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考核指标：向科技厅和内江市委市政府报送决策咨询报告1份、政策建议3条，形成课题研究报告1篇、论文1篇。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有关说明：该课题由内江市科技局组织并出具推荐函，商相关归口单位推荐上报，限推荐1项，申报经费不超过10万元。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47.数智赋能校园及周边食品安全管理研究。</w:t>
      </w:r>
    </w:p>
    <w:p>
      <w:pPr>
        <w:keepNext w:val="0"/>
        <w:keepLines w:val="0"/>
        <w:pageBreakBefore w:val="0"/>
        <w:kinsoku/>
        <w:wordWrap/>
        <w:overflowPunct/>
        <w:topLinePunct w:val="0"/>
        <w:autoSpaceDE/>
        <w:autoSpaceDN/>
        <w:bidi w:val="0"/>
        <w:spacing w:line="560" w:lineRule="exact"/>
        <w:ind w:firstLine="624" w:firstLineChars="200"/>
        <w:jc w:val="both"/>
        <w:textAlignment w:val="auto"/>
        <w:rPr>
          <w:rFonts w:hint="default" w:ascii="Times New Roman" w:hAnsi="Times New Roman" w:eastAsia="仿宋_GB2312" w:cs="Times New Roman"/>
          <w:color w:val="000000" w:themeColor="text1"/>
          <w:spacing w:val="-4"/>
          <w:sz w:val="32"/>
          <w:szCs w:val="32"/>
          <w14:textFill>
            <w14:solidFill>
              <w14:schemeClr w14:val="tx1"/>
            </w14:solidFill>
          </w14:textFill>
        </w:rPr>
      </w:pPr>
      <w:r>
        <w:rPr>
          <w:rFonts w:hint="default" w:ascii="Times New Roman" w:hAnsi="Times New Roman" w:eastAsia="仿宋_GB2312" w:cs="Times New Roman"/>
          <w:color w:val="000000" w:themeColor="text1"/>
          <w:spacing w:val="-4"/>
          <w:sz w:val="32"/>
          <w:szCs w:val="32"/>
          <w14:textFill>
            <w14:solidFill>
              <w14:schemeClr w14:val="tx1"/>
            </w14:solidFill>
          </w14:textFill>
        </w:rPr>
        <w:t>研究内容：围绕校园及周边食品安全问题，以数据运转工作模式为基础，运用大数据与辅助信息化技术，开展区域特异性、证照办理、卫生安全、食品质量、防范及安全意识、执法监管等方面的研究，形成校园及周边食品安全管理策略建议。</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考核指标：向科技厅和巴中市委市政府报送决策咨询报告1份、政策建议3条，形成课题研究报告1篇。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有关说明：该课题由巴中市科技局组织并出具推荐函，商相关归口单位推荐上报，限推荐1项，申报经费不超过10万元。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48.四川能源供应结构面临的问题及应对策略研究。</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围绕我省能源供应结构不优的现实问题，重点开展发展基础、问题挑战、主要任务、政策制度等研究，形成推动我省能源供应结构优化的政策建议和研究报告，为进一步开展推动能源供应结构优化相关问题研究积累研究成果。</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考核指标：向科技厅和省委政研室报送决策咨询报告1份、政策建议3条，形成课题研究报告1篇、论文1篇。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有关说明：该课题由省委政研室组织并出具推荐函，商相关归口单位推荐上报，限推荐1项，申报经费不超过10万元。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49.四川省综合绩效提升型流域生态补偿模式创新研究。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研究内容：研究构建以综合绩效提升为导向的流域生态补偿资金精准分配理论框架和方法流程，提出建立“水环境水资源水生态”统筹保护与“一河一策式”差异兼顾的流域生态补偿模式的政策建议。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考核指标：向科技厅和生态环境厅报送决策咨询报告1份、政策建议3条，形成课题研究报告1篇、论文1篇。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有关说明：该课题由生态环境厅组织并出具推荐函，商相关归口单位推荐上报，限推荐1项，申报经费不超过10万元。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50.川西高原优势生态服务资源结构分布与持续供给能力培育机制研究。</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研究内容：重点研究川西高原优势生态服务资源结构分布现状与问题、持续供给理论，探索提出生态服务的建设模式和政策制度，形成推动川西高原优势生态资源持续供给的政策建议。</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考核指标：向科技厅和甘孜州委州政府报送决策咨询报告1份、政策建议3条，形成课题研究报告1篇、论文2篇。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有关说明：该课题由甘孜州科技局组织并出具推荐函，商相关归口单位推荐上报，限推荐1项，申报经费不超过10万元。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51.常见高发慢性重大疾病精准防控体系的研究。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研究内容：重点围绕解决冠心病早发、高发及防控效果差等难题，开展慢性重大疾病精准防控体系研究，形成早发冠心病防控综合研究报告，为早发冠心病的管理模式提供参考。</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考核指标：向科技厅和遂宁市委市政府报送决策咨询报告1份、政策建议3条，形成课题研究报告1篇、论文2篇。</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有关说明：该课题由遂宁市科技局组织并出具推荐函，商相关归口单位推荐上报，限推荐1项，申报经费不超过10万元。</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52.雅安震后暴雨型泥石流运动规模演化机理数据库研究。</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研究内容：聚焦雅安典型暴雨及地震区，引入固液两相理论及数据深度学习技术，建立极端暴雨型泥石流在重力、地震、碰撞及摩擦力等影响下运动规模演化模型，完善灾害预测模型。</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考核指标：向科技厅和雅安市委市政府报送决策咨询报告1</w:t>
      </w:r>
      <w:r>
        <w:rPr>
          <w:rFonts w:hint="default" w:ascii="Times New Roman" w:hAnsi="Times New Roman" w:eastAsia="仿宋_GB2312" w:cs="Times New Roman"/>
          <w:color w:val="000000" w:themeColor="text1"/>
          <w:spacing w:val="-6"/>
          <w:sz w:val="32"/>
          <w:szCs w:val="32"/>
          <w14:textFill>
            <w14:solidFill>
              <w14:schemeClr w14:val="tx1"/>
            </w14:solidFill>
          </w14:textFill>
        </w:rPr>
        <w:t>份、政策建议3条，形成课题研究报告1篇、论文2篇、专利1项。</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有关说明：该课题由雅安市科技局组织并出具推荐函，商相关归口单位推荐上报，限推荐1项，申报经费不超过10万元。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53.盆周山区基层应急管理规范化建设模式的探索与研究——以广元为例。</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研究内容：重点开展盆周山区基层应急管理阵地规范化建设模式、网格化清单制管理智能化建设模式等研究，形成推动盆周山区基层应急管理规范化的政策建议。</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考核指标：向科技厅和广元市委市政府报送决策咨询报告1份、政策建议3条，形成课题研究报告1篇、论文1篇。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有关说明：该课题由广元市科技局组织并出具推荐函，商相关归口单位推荐上报，限推荐1项，申报经费不超过10万元。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54.重大自然灾害快速响应机制研究。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调查分析近年来省内重大灾害发生特点、响应过程、应急救援力量、科技支撑、协调联动等方面存在的问题和挑战，研究形成重大自然灾害快速响应的基本框架和运行方式，提出重大自然灾害快速响应的机制体制建议。</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考核指标：向科技厅和应急管理厅报送决策咨询报告1份、政策建议3条，形成课题研究报告1篇、论文2篇。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有关说明：该课题由应急管理厅组织并出具推荐函，商相关归口单位推荐上报，限推荐1项，申报经费不超过10万元。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pacing w:val="-6"/>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55.</w:t>
      </w:r>
      <w:r>
        <w:rPr>
          <w:rFonts w:hint="default" w:ascii="Times New Roman" w:hAnsi="Times New Roman" w:eastAsia="仿宋_GB2312" w:cs="Times New Roman"/>
          <w:color w:val="000000" w:themeColor="text1"/>
          <w:spacing w:val="-6"/>
          <w:sz w:val="32"/>
          <w:szCs w:val="32"/>
          <w14:textFill>
            <w14:solidFill>
              <w14:schemeClr w14:val="tx1"/>
            </w14:solidFill>
          </w14:textFill>
        </w:rPr>
        <w:t>新时代基层依法治理人才培养路径研究——以四川省“法律明白人”培养机制为例。</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围绕解决我省基层治理法治人才力量薄弱的问题，重点开展“法律明白人”的精细遴选、实践培训、作用发挥、管理考评、典型选树及组织保障等研究，提出建立健全科学化标准化的“法律明白人”培养机制的政策建议。</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考核指标：向科技厅和司法厅报送决策咨询报告1份、政策建议3条，形成课题研究报告1篇。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有关说明：该课题由司法厅组织并出具推荐函，商相关归口单位推荐上报，限推荐1项，申报经费不超过10万元。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56.科技创新综合党委功能与运行机制优化研究。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研究内容：结合管行业就要管党建的要求，分析全省科技创新综合党委发展现状，总结省外科技创新综合党委先进经验，提出推动全省科技创新综合党委高质量发展的对策建议。</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考核指标：向科技厅报送决策咨询报告1份、政策建议3条，形成课题研究报告1篇。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有关说明：该课题由科技厅组织并出具推荐函，商相关归口单位推荐上报，限推荐1项，申报经费不超过10万元。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57.数字赋能宣传文化工作高质量发展研究。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研究内容：立足网络传播格局新变化、数字时代工作新形势，瞄准数字化赋能宣传思想工作大趋势，研究数字赋能宣传文化工</w:t>
      </w:r>
      <w:r>
        <w:rPr>
          <w:rFonts w:hint="default" w:ascii="Times New Roman" w:hAnsi="Times New Roman" w:eastAsia="仿宋_GB2312" w:cs="Times New Roman"/>
          <w:color w:val="000000" w:themeColor="text1"/>
          <w:spacing w:val="-6"/>
          <w:sz w:val="32"/>
          <w:szCs w:val="32"/>
          <w14:textFill>
            <w14:solidFill>
              <w14:schemeClr w14:val="tx1"/>
            </w14:solidFill>
          </w14:textFill>
        </w:rPr>
        <w:t>作的策略和举措建议，为提高新时代宣传文化工作实效提供参考。</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考核指标：向省委宣传部和科技厅报送决策咨询报告2份、政策建议5条，形成课题研究报告1篇、论文1篇。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有关说明：该课题由省委宣传部组织并出具推荐函，商相关归口单位推荐上报，限推荐1项，申报经费不超过20万元。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58.新民主主义革命时期四川纪检监察工作探析。</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研究内容：全面总结新民主主义革命时期四川纪检监察工作的做法及特点，提炼传承革命基因、赓续红色传统、弘扬斗争精神的历史经验，为做好新时代新征程纪检监察工作提供启示。</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考核指标：向省纪委监委机关和科技厅报送决策咨询报告2份、政策建议5条，形成课题研究报告1篇、论文1篇。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有关说明：该课题由省纪委监委机关组织并出具推荐函，商相关归口单位推荐上报，限推荐1项，申报经费不超过20万元。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pacing w:val="-1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59.</w:t>
      </w:r>
      <w:r>
        <w:rPr>
          <w:rFonts w:hint="default" w:ascii="Times New Roman" w:hAnsi="Times New Roman" w:eastAsia="仿宋_GB2312" w:cs="Times New Roman"/>
          <w:color w:val="000000" w:themeColor="text1"/>
          <w:spacing w:val="-11"/>
          <w:sz w:val="32"/>
          <w:szCs w:val="32"/>
          <w14:textFill>
            <w14:solidFill>
              <w14:schemeClr w14:val="tx1"/>
            </w14:solidFill>
          </w14:textFill>
        </w:rPr>
        <w:t>科技创新推动文化事业和产业高质量发展政策与机制研究。</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聚焦以“科技+文化”推动文化事业和文化产业升级，开展省内外文化科技融合示范基地研究，从创新组织形式、资源配置方式、效益评估模式、人才培养范式等方面，提出文化科技深度融合的机制创新和政策建议。</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考核指标：向科技厅和省直有关部门报送决策咨询报告1份、政策建议3条，形成课题研究报告1篇、论文1篇。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有关说明：该课题由西南交通大学申报并出具推荐函，商相关归口单位推荐上报，限推荐1项，申报经费不超过10万元。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60.机关党建引领支撑科技创新“两服务”策略研究。</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研究内容：开展全省科技系统机关党建特点规律、运行模式、品牌塑造等研究，探索分析科技系统机关党建和业务工作深度融合的机制，提出在新时代塑造机关党建品牌的政策建议。</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考核指标：向科技厅和省直有关部门报送决策咨询报告1份、政策建议3条，形成课题研究报告1篇、论文1篇。</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有关说明：该课题由科技厅组织并出具推荐函，商相关归口单位推荐上报，限推荐1项，申报经费不超过10万元。</w:t>
      </w:r>
    </w:p>
    <w:p>
      <w:pPr>
        <w:keepNext w:val="0"/>
        <w:keepLines w:val="0"/>
        <w:pageBreakBefore w:val="0"/>
        <w:kinsoku/>
        <w:wordWrap/>
        <w:overflowPunct/>
        <w:topLinePunct w:val="0"/>
        <w:autoSpaceDE/>
        <w:autoSpaceDN/>
        <w:bidi w:val="0"/>
        <w:spacing w:line="560" w:lineRule="exact"/>
        <w:ind w:firstLine="640" w:firstLineChars="200"/>
        <w:jc w:val="both"/>
        <w:textAlignment w:val="auto"/>
        <w:outlineLvl w:val="1"/>
        <w:rPr>
          <w:rFonts w:hint="default" w:ascii="Times New Roman" w:hAnsi="Times New Roman" w:eastAsia="楷体_GB2312" w:cs="Times New Roman"/>
          <w:color w:val="000000" w:themeColor="text1"/>
          <w:kern w:val="0"/>
          <w:sz w:val="32"/>
          <w:szCs w:val="32"/>
          <w14:textFill>
            <w14:solidFill>
              <w14:schemeClr w14:val="tx1"/>
            </w14:solidFill>
          </w14:textFill>
        </w:rPr>
      </w:pPr>
      <w:r>
        <w:rPr>
          <w:rFonts w:hint="default" w:ascii="Times New Roman" w:hAnsi="Times New Roman" w:eastAsia="楷体_GB2312" w:cs="Times New Roman"/>
          <w:color w:val="000000" w:themeColor="text1"/>
          <w:kern w:val="0"/>
          <w:sz w:val="32"/>
          <w:szCs w:val="32"/>
          <w14:textFill>
            <w14:solidFill>
              <w14:schemeClr w14:val="tx1"/>
            </w14:solidFill>
          </w14:textFill>
        </w:rPr>
        <w:t>（二）决策参考类项目。</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kern w:val="0"/>
          <w:sz w:val="32"/>
          <w:szCs w:val="32"/>
          <w14:textFill>
            <w14:solidFill>
              <w14:schemeClr w14:val="tx1"/>
            </w14:solidFill>
          </w14:textFill>
        </w:rPr>
      </w:pPr>
      <w:r>
        <w:rPr>
          <w:rFonts w:hint="default" w:ascii="Times New Roman" w:hAnsi="Times New Roman" w:eastAsia="仿宋_GB2312" w:cs="Times New Roman"/>
          <w:color w:val="000000" w:themeColor="text1"/>
          <w:kern w:val="0"/>
          <w:sz w:val="32"/>
          <w:szCs w:val="32"/>
          <w14:textFill>
            <w14:solidFill>
              <w14:schemeClr w14:val="tx1"/>
            </w14:solidFill>
          </w14:textFill>
        </w:rPr>
        <w:t>有关说明：项目在以下研究领域和研究方向中自由命题申报，拟定的项目名称应与申报研究方向相吻合，项目名称表述应科学严谨、简明规范</w:t>
      </w:r>
      <w:r>
        <w:rPr>
          <w:rFonts w:hint="default" w:ascii="Times New Roman" w:hAnsi="Times New Roman" w:eastAsia="仿宋_GB2312" w:cs="Times New Roman"/>
          <w:color w:val="000000" w:themeColor="text1"/>
          <w:sz w:val="32"/>
          <w:szCs w:val="32"/>
          <w14:textFill>
            <w14:solidFill>
              <w14:schemeClr w14:val="tx1"/>
            </w14:solidFill>
          </w14:textFill>
        </w:rPr>
        <w:t>，申报经费不超过5万元。</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2.1现代制造业发展研究。</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研究方向：围绕加快建设制造强省，在特色优势产业提质倍增、战略性新兴产业引进培育、未来产业孵化与加速、制造业高端化智能化绿色化发展、产业链供应链韧性和安全水平提升等方面选题开展研究。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考核指标：向市级及以上党委和政府有关部门报送决策咨询报告1份、政策建议3条及以上，形成课题研究报告1篇、论文1篇及以上。</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2.2 现代服务业发展研究。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研究方向：围绕构建优质高效的服务业新体系，在现代服务业与先进制造业融合、服务业高质量发展示范区建设、培育发展现代金融、发展文化旅游产业、促进消费扩容提质等方面选题开展研究。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考核指标：向市级及以上党委和政府有关部门报送决策咨询报告1份、政策建议3条及以上，形成课题研究报告1篇、论文1篇及以上。</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2.3 现代农业发展研究。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方向：围绕打造新时代更高水平“天府粮仓”，在实施种业振兴行动、推进高标准农田规划建设、做好“土特产”大文章、发展现代农业园区和农业科技园区、培育乡村新产业新业态、推动农业产业全链条升级等方面选题开展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考核指标：向县级及以上党委和政府有关部门报送决策咨询报告1份、政策建议3条及以上，形成课题研究报告1篇、论文1篇及以上。</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2.4 数字经济发展研究。</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研究方向：围绕打造数字经济发展高地，在培育壮大数字经济核心产业、数字经济与实体经济深度融合、数字赋能经济社会转型发展、网络空间安全治理等方面选题开展研究。</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考核指标：向市级及以上党委和政府有关部门报送决策咨询报告1份、政策建议3条及以上，形成课题研究报告1篇、论文1篇及以上。</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2.5 产业绿色转型发展研究。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研究方向：围绕推进产业绿色化发展，在打造绿色地毯优势产业集聚、推进“无废城市”建设、川西北生态示范区生态产品价值实现、攀西战略资源创新开发利用、促进建筑业转型升级等方面选题开展研究。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考核指标：向市级及以上党委和政府有关部门报送决策咨询报告1份、政策建议3条及以上，形成课题研究报告1篇、论文1篇及以上。</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2.6 产业园区建设研究。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方向：围绕高质量建设现代产业园区，在推动国家级和省级新区、开发区、高新区提档升级，实施园区主导产业培育提升行动，支持川渝毗邻地区合作园区建设发展，提升园区集约高效利用水平等等方面选题开展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考核指标：向市级及以上党委和政府有关部门报送决策咨询报告1份、政策建议3条及以上，形成课题研究报告1篇、论文1篇及以上。</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2.7 区域发展战略研究。</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方向：围绕促进高水平区域协调发展，在成渝地区双城经济圈建设、融入“双循环”新发展格局、建强现代化成都都市圈、提升区域中心城市能级、强化重要节点支撑功能、补齐区域发展突出短板、优化区域产业分工布局等方面选题开展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考核指标：向市级及以上党委和政府有关部门报送决策咨询报告1份、政策建议3条及以上，形成课题研究报告1篇、论文1篇及以上。</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2.8 城乡融合发展研究。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方向：围绕推动城乡融合发展，在加快新型城镇化步伐、全面推进乡村振兴、推动城乡产业深度融合、健全城乡融合发展体制机制、构建全域覆盖城乡一体的规划体系、建设现代化基础设施体系等方面选题开展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考核指标：向县级及以上党委和政府有关部门报送决策咨询报告1份、政策建议3条及以上，形成课题研究报告1篇、论文1篇及以上。</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2.9 区域创新体系研究。</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方向：围绕加快建设具有全国影响力的科技创新中心，在构建“两主一廊三带”科技创新格局、提升区域中心城市创新能级、促进县域创新驱动发展、加快高能级创新平台建设、科研院所和新型研发机构发展等方面选题开展研究。</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考核指标：向市级及以上党委和政府有关部门报送决策咨询报告1份、政策建议3条及以上，形成课题研究报告1篇、论文1篇及以上。</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2.10 科技创新政策和科技体制改革研究。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方向：围绕完善科技创新体制机制，在科技计划管理改革、科研项目组织管理、创新联合体建设、成果转移转化机制、金融支持创新体系建设、科技创新激励政策、科技伦理治理体系、科技评价制度改革、加强作风学风建设等方面选题开展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考核指标：向市级及以上党委和政府有关部门报送决策咨询报告1份、政策建议3条及以上，形成课题研究报告1篇、论文1篇及以上。</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2.11 企业创新政策研究。</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研究方向：围绕做大做强市场主体，在统筹推进三次产业市场主体培育发展、加大创新型企业培育力度、持续提升企业技术创新能力、促进大中小企业融通创新、支持民营企业创新发展等方面选题开展研究。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考核指标：向市级及以上党委和政府有关部门报送决策咨询报告1份、政策建议3条及以上，形成课题研究报告1篇、论文1篇及以上。</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2.12 教育体制研究。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研究方向：围绕教育强省建设，在优化区域教育资源配置，推进职普融通、产教融合、科教融汇，推进“双一流”建设，深化教育领域综合改革，推动民族地区教育提质增效等方面选题开展研究。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考核指标：向市级及以上党委和政府有关部门报送决策咨询报告1份、政策建议3条及以上，形成课题研究报告1篇、论文1篇及以上。</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2.13 人才队伍建设研究。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研究方向：围绕加快建设创新人才集聚高地，在完善人才政策、深化区域人才协同发展、打造科技领军人才和团队、加大青年人才支持力度、优化外籍高层次人才服务管理措施等方面选题开展研究。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考核指标：向市级及以上党委和政府有关部门报送决策咨询报告1份、政策建议3条及以上，形成课题研究报告1篇、论文1篇及以上。</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2.14 公共卫生健康研究。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研究方向：围绕加快建设卫生健康强省，在深化医药卫生体制改革，构建公共卫生服务体系，加强重大疫情、地方病防控救治体系，加快中医药传承创新，强化食品药品安全监管等方面选题开展研究。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考核指标：向市级及以上党委和政府有关部门报送决策咨询报告1份、政策建议3条及以上，形成课题研究报告1篇、论文1篇及以上。</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2.15 民生保障制度研究。</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pacing w:val="-6"/>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研究方向：围绕加快民生社会事业发展，在促进更高质量就业、健全养老服务和社会保障体系、建立生育支持政策体系、保障妇女儿童合法权益、发展慈善事业、完善住房制度、推动文化</w:t>
      </w:r>
      <w:r>
        <w:rPr>
          <w:rFonts w:hint="default" w:ascii="Times New Roman" w:hAnsi="Times New Roman" w:eastAsia="仿宋_GB2312" w:cs="Times New Roman"/>
          <w:color w:val="000000" w:themeColor="text1"/>
          <w:spacing w:val="-6"/>
          <w:sz w:val="32"/>
          <w:szCs w:val="32"/>
          <w14:textFill>
            <w14:solidFill>
              <w14:schemeClr w14:val="tx1"/>
            </w14:solidFill>
          </w14:textFill>
        </w:rPr>
        <w:t>与科技融合、促进群众体育和竞技体育发展等方面选题开展研究。</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考核指标：向县级及以上党委和政府有关部门报送决策咨询报告1份、政策建议3条及以上，形成课题研究报告1篇、论文1篇及以上。</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2.16 法治政府建设研究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研究方向：围绕全面推进法治四川建设，在扎实推进全过程人民民主、重点领域和新兴领域地方立法、深化行政执法体制改革、完善现代公共法律服务体系等方面选题开展研究。</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考核指标：向市级及以上党委和政府有关部门报送决策咨询报告1份、政策建议3条及以上，形成课题研究报告1篇、论文1篇及以上。</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2.17 社会治理体制研究。</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研究方向：围绕加快提升治理体系和治理能力现代化水平，在加强城乡基层治理、完善公共安全体系、加强应急救援体系建设、重大风险防控、新经济新业态安全监管等方面选题开展研究。</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考核指标：向市级及以上党委和政府有关部门报送决策咨询报告1份、政策建议3条及以上，形成课题研究报告1篇、论文1篇及以上。</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2.18 党的建设研究。</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研究方向：围绕纵深推进全面从严治党，在全面系统整体加强党的领导、强化党的创新理论武装、建设高素质干部队伍、打造全面过硬党组织、推进正风肃纪反腐等方面选题开展研究。</w:t>
      </w:r>
    </w:p>
    <w:p>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考核指标：向市级及以上党委和政府有关部门报送决策咨询报告1份、政策建议3条及以上，形成课题研究报告1篇、论文1篇及以上。</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黑体" w:cs="Times New Roman"/>
          <w:color w:val="000000" w:themeColor="text1"/>
          <w:kern w:val="0"/>
          <w:sz w:val="32"/>
          <w:szCs w:val="32"/>
          <w14:textFill>
            <w14:solidFill>
              <w14:schemeClr w14:val="tx1"/>
            </w14:solidFill>
          </w14:textFill>
        </w:rPr>
      </w:pPr>
      <w:r>
        <w:rPr>
          <w:rFonts w:hint="default" w:ascii="Times New Roman" w:hAnsi="Times New Roman" w:eastAsia="黑体" w:cs="Times New Roman"/>
          <w:color w:val="000000" w:themeColor="text1"/>
          <w:kern w:val="0"/>
          <w:sz w:val="32"/>
          <w:szCs w:val="32"/>
          <w:lang w:eastAsia="zh-CN"/>
          <w14:textFill>
            <w14:solidFill>
              <w14:schemeClr w14:val="tx1"/>
            </w14:solidFill>
          </w14:textFill>
        </w:rPr>
        <w:t>——</w:t>
      </w:r>
      <w:r>
        <w:rPr>
          <w:rFonts w:hint="default" w:ascii="Times New Roman" w:hAnsi="Times New Roman" w:eastAsia="黑体" w:cs="Times New Roman"/>
          <w:color w:val="000000" w:themeColor="text1"/>
          <w:kern w:val="0"/>
          <w:sz w:val="32"/>
          <w:szCs w:val="32"/>
          <w14:textFill>
            <w14:solidFill>
              <w14:schemeClr w14:val="tx1"/>
            </w14:solidFill>
          </w14:textFill>
        </w:rPr>
        <w:t>有关要求</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color w:val="000000" w:themeColor="text1"/>
          <w:kern w:val="0"/>
          <w:sz w:val="32"/>
          <w:szCs w:val="32"/>
          <w14:textFill>
            <w14:solidFill>
              <w14:schemeClr w14:val="tx1"/>
            </w14:solidFill>
          </w14:textFill>
        </w:rPr>
      </w:pPr>
      <w:r>
        <w:rPr>
          <w:rFonts w:hint="default" w:ascii="Times New Roman" w:hAnsi="Times New Roman" w:eastAsia="楷体_GB2312" w:cs="Times New Roman"/>
          <w:color w:val="000000" w:themeColor="text1"/>
          <w:kern w:val="0"/>
          <w:sz w:val="32"/>
          <w:szCs w:val="32"/>
          <w14:textFill>
            <w14:solidFill>
              <w14:schemeClr w14:val="tx1"/>
            </w14:solidFill>
          </w14:textFill>
        </w:rPr>
        <w:t>（一）申报要求。</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1.项目申报单位应是在川注册的独立法人单位，并具有完成项目所需的科研能力、组织管理和协调能力。</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2.项目申请人应熟悉省情，具有与申请项目相应的较全面的基础理论知识、工作实践经验，具备较高研究水平与组织协调能力。受聘于四川省内具有独立法人资格单位的境外科学家可作为项目负责人。</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3.联合申报项目需签定项目合作协议，企业单独或牵头申报项目可不用匹配自筹资金。</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楷体_GB2312" w:cs="Times New Roman"/>
          <w:color w:val="000000" w:themeColor="text1"/>
          <w:kern w:val="0"/>
          <w:sz w:val="32"/>
          <w:szCs w:val="32"/>
          <w14:textFill>
            <w14:solidFill>
              <w14:schemeClr w14:val="tx1"/>
            </w14:solidFill>
          </w14:textFill>
        </w:rPr>
        <w:t>4.</w:t>
      </w:r>
      <w:r>
        <w:rPr>
          <w:rFonts w:hint="default" w:ascii="Times New Roman" w:hAnsi="Times New Roman" w:eastAsia="仿宋_GB2312" w:cs="Times New Roman"/>
          <w:color w:val="000000" w:themeColor="text1"/>
          <w:sz w:val="32"/>
          <w:szCs w:val="32"/>
          <w14:textFill>
            <w14:solidFill>
              <w14:schemeClr w14:val="tx1"/>
            </w14:solidFill>
          </w14:textFill>
        </w:rPr>
        <w:t>委托市（州）科技局和省直有关部门（单位）组织申报的决策支撑类项目，申报时须在“四川省科技管理信息系统”上传市（州）科技局和直有关部门（单位）出具的推荐函。</w:t>
      </w:r>
    </w:p>
    <w:p>
      <w:pPr>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楷体_GB2312" w:cs="Times New Roman"/>
          <w:color w:val="000000" w:themeColor="text1"/>
          <w:kern w:val="0"/>
          <w:sz w:val="32"/>
          <w:szCs w:val="32"/>
          <w14:textFill>
            <w14:solidFill>
              <w14:schemeClr w14:val="tx1"/>
            </w14:solidFill>
          </w14:textFill>
        </w:rPr>
      </w:pPr>
      <w:r>
        <w:rPr>
          <w:rFonts w:hint="default" w:ascii="Times New Roman" w:hAnsi="Times New Roman" w:eastAsia="楷体_GB2312" w:cs="Times New Roman"/>
          <w:color w:val="000000" w:themeColor="text1"/>
          <w:kern w:val="0"/>
          <w:sz w:val="32"/>
          <w:szCs w:val="32"/>
          <w14:textFill>
            <w14:solidFill>
              <w14:schemeClr w14:val="tx1"/>
            </w14:solidFill>
          </w14:textFill>
        </w:rPr>
        <w:t>（二）限额申报。</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各申报单位按限额申报数进行申报。申报数原则上不超过申报单位上年度立项数的2倍；上年度立项数少于3项的单位，申报数不超过5项。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楷体_GB2312" w:cs="Times New Roman"/>
          <w:color w:val="000000" w:themeColor="text1"/>
          <w:kern w:val="0"/>
          <w:sz w:val="32"/>
          <w:szCs w:val="32"/>
          <w14:textFill>
            <w14:solidFill>
              <w14:schemeClr w14:val="tx1"/>
            </w14:solidFill>
          </w14:textFill>
        </w:rPr>
      </w:pPr>
      <w:r>
        <w:rPr>
          <w:rFonts w:hint="default" w:ascii="Times New Roman" w:hAnsi="Times New Roman" w:eastAsia="楷体_GB2312" w:cs="Times New Roman"/>
          <w:color w:val="000000" w:themeColor="text1"/>
          <w:kern w:val="0"/>
          <w:sz w:val="32"/>
          <w:szCs w:val="32"/>
          <w14:textFill>
            <w14:solidFill>
              <w14:schemeClr w14:val="tx1"/>
            </w14:solidFill>
          </w14:textFill>
        </w:rPr>
        <w:t>（三）审核原则。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1.项目应具有创新性、引领性和实践性。申请项目以解决实际问题、推进决策应用为导向，立足四川省情，技术路线可行，注重研究的针对性、有效性和时效性，提出具有建设性、操作性和可行性的政策建议。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2.优先支持优秀研究团队开展研究。优先支持深入一线实地调研、数据详实、研究方法科学、分析全面深刻、操作性强且有明确成果应用部门的调研类、实证研究类项目。</w:t>
      </w:r>
    </w:p>
    <w:p>
      <w:pPr>
        <w:pStyle w:val="3"/>
        <w:keepNext w:val="0"/>
        <w:keepLines w:val="0"/>
        <w:pageBreakBefore w:val="0"/>
        <w:kinsoku/>
        <w:wordWrap/>
        <w:overflowPunct/>
        <w:topLinePunct w:val="0"/>
        <w:autoSpaceDE/>
        <w:autoSpaceDN/>
        <w:bidi w:val="0"/>
        <w:spacing w:line="560" w:lineRule="exact"/>
        <w:ind w:firstLine="640" w:firstLineChars="200"/>
        <w:jc w:val="both"/>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3.凡在内容上与在研或已结题的各级各类项目有较大关联的申请课题，须在申请表上详细说明所申请项目与已承担项目的联系和区别，否则视为重复申请。</w:t>
      </w:r>
    </w:p>
    <w:p>
      <w:pPr>
        <w:pStyle w:val="9"/>
        <w:keepNext w:val="0"/>
        <w:keepLines w:val="0"/>
        <w:pageBreakBefore w:val="0"/>
        <w:numPr>
          <w:ilvl w:val="0"/>
          <w:numId w:val="0"/>
        </w:numPr>
        <w:kinsoku/>
        <w:wordWrap/>
        <w:bidi w:val="0"/>
        <w:spacing w:after="120" w:line="560" w:lineRule="exact"/>
        <w:jc w:val="both"/>
        <w:textAlignment w:val="auto"/>
        <w:rPr>
          <w:rFonts w:hint="default" w:ascii="Times New Roman" w:hAnsi="Times New Roman" w:cs="Times New Roman"/>
        </w:rPr>
      </w:pPr>
    </w:p>
    <w:p>
      <w:pPr>
        <w:pStyle w:val="9"/>
        <w:keepNext w:val="0"/>
        <w:keepLines w:val="0"/>
        <w:pageBreakBefore w:val="0"/>
        <w:numPr>
          <w:ilvl w:val="0"/>
          <w:numId w:val="0"/>
        </w:numPr>
        <w:kinsoku/>
        <w:wordWrap/>
        <w:bidi w:val="0"/>
        <w:spacing w:after="120" w:line="560" w:lineRule="exact"/>
        <w:jc w:val="both"/>
        <w:textAlignment w:val="auto"/>
        <w:rPr>
          <w:rFonts w:hint="default" w:ascii="Times New Roman" w:hAnsi="Times New Roman" w:cs="Times New Roman"/>
        </w:rPr>
      </w:pPr>
    </w:p>
    <w:p>
      <w:pPr>
        <w:pStyle w:val="9"/>
        <w:keepNext w:val="0"/>
        <w:keepLines w:val="0"/>
        <w:pageBreakBefore w:val="0"/>
        <w:numPr>
          <w:ilvl w:val="0"/>
          <w:numId w:val="0"/>
        </w:numPr>
        <w:kinsoku/>
        <w:wordWrap/>
        <w:bidi w:val="0"/>
        <w:spacing w:after="120" w:line="560" w:lineRule="exact"/>
        <w:jc w:val="both"/>
        <w:textAlignment w:val="auto"/>
        <w:rPr>
          <w:rFonts w:hint="default" w:ascii="Times New Roman" w:hAnsi="Times New Roman" w:cs="Times New Roman"/>
        </w:rPr>
      </w:pPr>
    </w:p>
    <w:p>
      <w:pPr>
        <w:pStyle w:val="9"/>
        <w:keepNext w:val="0"/>
        <w:keepLines w:val="0"/>
        <w:pageBreakBefore w:val="0"/>
        <w:numPr>
          <w:ilvl w:val="0"/>
          <w:numId w:val="0"/>
        </w:numPr>
        <w:kinsoku/>
        <w:wordWrap/>
        <w:bidi w:val="0"/>
        <w:spacing w:after="120" w:line="560" w:lineRule="exact"/>
        <w:jc w:val="both"/>
        <w:textAlignment w:val="auto"/>
        <w:rPr>
          <w:rFonts w:hint="default" w:ascii="Times New Roman" w:hAnsi="Times New Roman" w:cs="Times New Roman"/>
        </w:rPr>
        <w:sectPr>
          <w:pgSz w:w="11906" w:h="16838"/>
          <w:pgMar w:top="2098" w:right="1474" w:bottom="1984" w:left="1588" w:header="851" w:footer="992" w:gutter="0"/>
          <w:pgNumType w:fmt="decimal"/>
          <w:cols w:space="425" w:num="1"/>
          <w:docGrid w:type="lines" w:linePitch="312" w:charSpace="0"/>
        </w:sectPr>
      </w:pP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黑体" w:cs="Times New Roman"/>
          <w:b w:val="0"/>
          <w:bCs w:val="0"/>
          <w:sz w:val="32"/>
          <w:szCs w:val="32"/>
        </w:rPr>
      </w:pPr>
      <w:r>
        <w:rPr>
          <w:rFonts w:hint="default" w:ascii="Times New Roman" w:hAnsi="Times New Roman" w:eastAsia="黑体" w:cs="Times New Roman"/>
          <w:b w:val="0"/>
          <w:bCs w:val="0"/>
          <w:sz w:val="32"/>
          <w:szCs w:val="32"/>
          <w:lang w:eastAsia="zh-CN"/>
        </w:rPr>
        <w:t>二、科研</w:t>
      </w:r>
      <w:r>
        <w:rPr>
          <w:rFonts w:hint="default" w:ascii="Times New Roman" w:hAnsi="Times New Roman" w:eastAsia="黑体" w:cs="Times New Roman"/>
          <w:b w:val="0"/>
          <w:bCs w:val="0"/>
          <w:sz w:val="32"/>
          <w:szCs w:val="32"/>
        </w:rPr>
        <w:t>院所</w:t>
      </w:r>
      <w:r>
        <w:rPr>
          <w:rFonts w:hint="default" w:ascii="Times New Roman" w:hAnsi="Times New Roman" w:eastAsia="黑体" w:cs="Times New Roman"/>
          <w:b w:val="0"/>
          <w:bCs w:val="0"/>
          <w:sz w:val="32"/>
          <w:szCs w:val="32"/>
          <w:lang w:eastAsia="zh-CN"/>
        </w:rPr>
        <w:t>改革</w:t>
      </w:r>
      <w:r>
        <w:rPr>
          <w:rFonts w:hint="default" w:ascii="Times New Roman" w:hAnsi="Times New Roman" w:eastAsia="黑体" w:cs="Times New Roman"/>
          <w:b w:val="0"/>
          <w:bCs w:val="0"/>
          <w:sz w:val="32"/>
          <w:szCs w:val="32"/>
        </w:rPr>
        <w:t>发展专项</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黑体" w:cs="Times New Roman"/>
          <w:sz w:val="32"/>
          <w:szCs w:val="32"/>
          <w:lang w:val="en-US" w:eastAsia="zh-CN"/>
        </w:rPr>
      </w:pPr>
      <w:r>
        <w:rPr>
          <w:rFonts w:hint="default" w:ascii="Times New Roman" w:hAnsi="Times New Roman" w:eastAsia="楷体_GB2312" w:cs="Times New Roman"/>
          <w:color w:val="auto"/>
          <w:sz w:val="30"/>
          <w:szCs w:val="30"/>
          <w:lang w:val="en-US" w:eastAsia="zh-CN"/>
        </w:rPr>
        <w:t xml:space="preserve"> </w:t>
      </w:r>
      <w:r>
        <w:rPr>
          <w:rFonts w:hint="default" w:ascii="Times New Roman" w:hAnsi="Times New Roman" w:eastAsia="楷体_GB2312" w:cs="Times New Roman"/>
          <w:color w:val="auto"/>
          <w:sz w:val="30"/>
          <w:szCs w:val="30"/>
        </w:rPr>
        <w:t>（该指南在线填写“四川省省级科研院所改善科研条件资金和项目申报书”“四川省省级科研院所基本科研业务费申报书”。</w:t>
      </w:r>
      <w:r>
        <w:rPr>
          <w:rFonts w:hint="default" w:ascii="Times New Roman" w:hAnsi="Times New Roman" w:eastAsia="楷体_GB2312" w:cs="Times New Roman"/>
          <w:sz w:val="30"/>
          <w:szCs w:val="30"/>
        </w:rPr>
        <w:t>指南咨询：</w:t>
      </w:r>
      <w:r>
        <w:rPr>
          <w:rFonts w:hint="default" w:ascii="Times New Roman" w:hAnsi="Times New Roman" w:eastAsia="楷体_GB2312" w:cs="Times New Roman"/>
          <w:sz w:val="30"/>
          <w:szCs w:val="30"/>
          <w:lang w:eastAsia="zh-CN"/>
        </w:rPr>
        <w:t>罗实军，</w:t>
      </w:r>
      <w:r>
        <w:rPr>
          <w:rFonts w:hint="default" w:ascii="Times New Roman" w:hAnsi="Times New Roman" w:eastAsia="楷体_GB2312" w:cs="Times New Roman"/>
          <w:sz w:val="30"/>
          <w:szCs w:val="30"/>
        </w:rPr>
        <w:t>028-86</w:t>
      </w:r>
      <w:r>
        <w:rPr>
          <w:rFonts w:hint="default" w:ascii="Times New Roman" w:hAnsi="Times New Roman" w:eastAsia="楷体_GB2312" w:cs="Times New Roman"/>
          <w:sz w:val="30"/>
          <w:szCs w:val="30"/>
          <w:lang w:val="en-US" w:eastAsia="zh-CN"/>
        </w:rPr>
        <w:t>719619</w:t>
      </w:r>
      <w:r>
        <w:rPr>
          <w:rFonts w:hint="default" w:ascii="Times New Roman" w:hAnsi="Times New Roman" w:eastAsia="楷体_GB2312" w:cs="Times New Roman"/>
          <w:sz w:val="30"/>
          <w:szCs w:val="30"/>
        </w:rPr>
        <w:t>）</w:t>
      </w: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黑体" w:cs="Times New Roman"/>
          <w:szCs w:val="32"/>
        </w:rPr>
      </w:pP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黑体" w:cs="Times New Roman"/>
          <w:szCs w:val="32"/>
        </w:rPr>
      </w:pPr>
      <w:r>
        <w:rPr>
          <w:rFonts w:hint="default" w:ascii="Times New Roman" w:hAnsi="Times New Roman" w:eastAsia="黑体" w:cs="Times New Roman"/>
          <w:szCs w:val="32"/>
          <w:lang w:eastAsia="zh-CN"/>
        </w:rPr>
        <w:t>——</w:t>
      </w:r>
      <w:r>
        <w:rPr>
          <w:rFonts w:hint="default" w:ascii="Times New Roman" w:hAnsi="Times New Roman" w:eastAsia="黑体" w:cs="Times New Roman"/>
          <w:szCs w:val="32"/>
        </w:rPr>
        <w:t>总体绩效目标</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Cs w:val="32"/>
        </w:rPr>
      </w:pPr>
      <w:r>
        <w:rPr>
          <w:rFonts w:hint="default" w:ascii="Times New Roman" w:hAnsi="Times New Roman" w:eastAsia="仿宋_GB2312" w:cs="Times New Roman"/>
          <w:szCs w:val="32"/>
        </w:rPr>
        <w:t>推动科研院所改革发展，改善科研建设条件，培育壮大人才队伍，充分发挥科研院所在创新体系中的骨干和引领作用，实现一定的经济和社会效益。</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黑体" w:cs="Times New Roman"/>
          <w:szCs w:val="32"/>
        </w:rPr>
      </w:pPr>
      <w:r>
        <w:rPr>
          <w:rFonts w:hint="default" w:ascii="Times New Roman" w:hAnsi="Times New Roman" w:eastAsia="黑体" w:cs="Times New Roman"/>
          <w:szCs w:val="32"/>
          <w:lang w:eastAsia="zh-CN"/>
        </w:rPr>
        <w:t>——</w:t>
      </w:r>
      <w:r>
        <w:rPr>
          <w:rFonts w:hint="default" w:ascii="Times New Roman" w:hAnsi="Times New Roman" w:eastAsia="黑体" w:cs="Times New Roman"/>
          <w:szCs w:val="32"/>
        </w:rPr>
        <w:t>资金支持方式和支持经费</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Cs w:val="32"/>
        </w:rPr>
      </w:pPr>
      <w:r>
        <w:rPr>
          <w:rFonts w:hint="default" w:ascii="Times New Roman" w:hAnsi="Times New Roman" w:eastAsia="仿宋_GB2312" w:cs="Times New Roman"/>
          <w:szCs w:val="32"/>
        </w:rPr>
        <w:t>（一）专项资金采取前补助支持方式。</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Cs w:val="32"/>
        </w:rPr>
      </w:pPr>
      <w:r>
        <w:rPr>
          <w:rFonts w:hint="default" w:ascii="Times New Roman" w:hAnsi="Times New Roman" w:eastAsia="仿宋_GB2312" w:cs="Times New Roman"/>
          <w:szCs w:val="32"/>
        </w:rPr>
        <w:t>（二）科研院所改革发展项目包括四川省省级科研院所改善科研条件资金和项目、省级科研院所基本科研业务费。科研院所改革发展项目支持范围见附件。</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Cs w:val="32"/>
        </w:rPr>
      </w:pPr>
      <w:r>
        <w:rPr>
          <w:rFonts w:hint="default" w:ascii="Times New Roman" w:hAnsi="Times New Roman" w:eastAsia="仿宋_GB2312" w:cs="Times New Roman"/>
          <w:szCs w:val="32"/>
        </w:rPr>
        <w:t>1. 省级科研院所改善科研条件资金和项目。</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Cs w:val="32"/>
        </w:rPr>
      </w:pPr>
      <w:r>
        <w:rPr>
          <w:rFonts w:hint="default" w:ascii="Times New Roman" w:hAnsi="Times New Roman" w:eastAsia="仿宋_GB2312" w:cs="Times New Roman"/>
          <w:szCs w:val="32"/>
        </w:rPr>
        <w:t>省级科研院所改善科研条件资金和项目由申报单位据实申报，根据轻重缓急按需支持。</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Cs w:val="32"/>
        </w:rPr>
      </w:pPr>
      <w:r>
        <w:rPr>
          <w:rFonts w:hint="default" w:ascii="Times New Roman" w:hAnsi="Times New Roman" w:eastAsia="仿宋_GB2312" w:cs="Times New Roman"/>
          <w:szCs w:val="32"/>
        </w:rPr>
        <w:t>2.省级科研院所基本科研业务费。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Cs w:val="32"/>
        </w:rPr>
      </w:pPr>
      <w:r>
        <w:rPr>
          <w:rFonts w:hint="default" w:ascii="Times New Roman" w:hAnsi="Times New Roman" w:eastAsia="仿宋_GB2312" w:cs="Times New Roman"/>
          <w:szCs w:val="32"/>
        </w:rPr>
        <w:t>省级科研院所基本科研业务费，根据科研院所科研人员数和1979年1月1日后出生的科研人员数、项目管理绩效、科研投入等情况，结合年度专项资金总额，采用因素法确定资金分配方案。首先提取10%左右的金额，用于奖补科研投入，再根据申报单位科技人员数、45岁及以下科技人员数分别按35%和55%进行分配，每个单位最低支持</w:t>
      </w:r>
      <w:r>
        <w:rPr>
          <w:rFonts w:hint="default" w:ascii="Times New Roman" w:hAnsi="Times New Roman" w:cs="Times New Roman"/>
          <w:szCs w:val="32"/>
          <w:lang w:val="en-US" w:eastAsia="zh-CN"/>
        </w:rPr>
        <w:t>10</w:t>
      </w:r>
      <w:r>
        <w:rPr>
          <w:rFonts w:hint="default" w:ascii="Times New Roman" w:hAnsi="Times New Roman" w:eastAsia="仿宋_GB2312" w:cs="Times New Roman"/>
          <w:szCs w:val="32"/>
        </w:rPr>
        <w:t>万元（</w:t>
      </w:r>
      <w:r>
        <w:rPr>
          <w:rFonts w:hint="default" w:ascii="Times New Roman" w:hAnsi="Times New Roman" w:eastAsia="仿宋_GB2312" w:cs="Times New Roman"/>
          <w:sz w:val="30"/>
          <w:szCs w:val="30"/>
          <w:lang w:val="en"/>
        </w:rPr>
        <w:t>不足</w:t>
      </w:r>
      <w:r>
        <w:rPr>
          <w:rFonts w:hint="default" w:ascii="Times New Roman" w:hAnsi="Times New Roman" w:cs="Times New Roman"/>
          <w:sz w:val="30"/>
          <w:szCs w:val="30"/>
          <w:lang w:val="en-US" w:eastAsia="zh-CN"/>
        </w:rPr>
        <w:t>10</w:t>
      </w:r>
      <w:r>
        <w:rPr>
          <w:rFonts w:hint="default" w:ascii="Times New Roman" w:hAnsi="Times New Roman" w:eastAsia="仿宋_GB2312" w:cs="Times New Roman"/>
          <w:sz w:val="30"/>
          <w:szCs w:val="30"/>
        </w:rPr>
        <w:t>万元，按</w:t>
      </w:r>
      <w:r>
        <w:rPr>
          <w:rFonts w:hint="default" w:ascii="Times New Roman" w:hAnsi="Times New Roman" w:cs="Times New Roman"/>
          <w:sz w:val="30"/>
          <w:szCs w:val="30"/>
          <w:lang w:val="en-US" w:eastAsia="zh-CN"/>
        </w:rPr>
        <w:t>10</w:t>
      </w:r>
      <w:r>
        <w:rPr>
          <w:rFonts w:hint="default" w:ascii="Times New Roman" w:hAnsi="Times New Roman" w:eastAsia="仿宋_GB2312" w:cs="Times New Roman"/>
          <w:sz w:val="30"/>
          <w:szCs w:val="30"/>
        </w:rPr>
        <w:t>万元进行支持</w:t>
      </w:r>
      <w:r>
        <w:rPr>
          <w:rFonts w:hint="default" w:ascii="Times New Roman" w:hAnsi="Times New Roman" w:eastAsia="仿宋_GB2312" w:cs="Times New Roman"/>
          <w:szCs w:val="32"/>
        </w:rPr>
        <w:t>），最高支持</w:t>
      </w:r>
      <w:r>
        <w:rPr>
          <w:rFonts w:hint="default" w:ascii="Times New Roman" w:hAnsi="Times New Roman" w:cs="Times New Roman"/>
          <w:szCs w:val="32"/>
          <w:lang w:val="en-US" w:eastAsia="zh-CN"/>
        </w:rPr>
        <w:t>20</w:t>
      </w:r>
      <w:r>
        <w:rPr>
          <w:rFonts w:hint="default" w:ascii="Times New Roman" w:hAnsi="Times New Roman" w:eastAsia="仿宋_GB2312" w:cs="Times New Roman"/>
          <w:szCs w:val="32"/>
        </w:rPr>
        <w:t>0万元。由院所自主确定项目并进行全流程管理。</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楷体_GB2312" w:cs="Times New Roman"/>
          <w:sz w:val="28"/>
          <w:szCs w:val="28"/>
        </w:rPr>
      </w:pPr>
      <w:r>
        <w:rPr>
          <w:rFonts w:hint="default" w:ascii="Times New Roman" w:hAnsi="Times New Roman" w:eastAsia="仿宋_GB2312" w:cs="Times New Roman"/>
          <w:szCs w:val="32"/>
        </w:rPr>
        <w:t>（三）本专项对申报单位匹配自筹资金无强制要求。</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黑体" w:cs="Times New Roman"/>
          <w:szCs w:val="32"/>
        </w:rPr>
      </w:pPr>
      <w:r>
        <w:rPr>
          <w:rFonts w:hint="default" w:ascii="Times New Roman" w:hAnsi="Times New Roman" w:eastAsia="黑体" w:cs="Times New Roman"/>
          <w:szCs w:val="32"/>
          <w:lang w:eastAsia="zh-CN"/>
        </w:rPr>
        <w:t>——</w:t>
      </w:r>
      <w:r>
        <w:rPr>
          <w:rFonts w:hint="default" w:ascii="Times New Roman" w:hAnsi="Times New Roman" w:eastAsia="黑体" w:cs="Times New Roman"/>
          <w:szCs w:val="32"/>
        </w:rPr>
        <w:t>实施周期</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Cs w:val="32"/>
        </w:rPr>
      </w:pPr>
      <w:r>
        <w:rPr>
          <w:rFonts w:hint="default" w:ascii="Times New Roman" w:hAnsi="Times New Roman" w:eastAsia="仿宋_GB2312" w:cs="Times New Roman"/>
          <w:szCs w:val="32"/>
        </w:rPr>
        <w:t>省级科研院所改善科研条件资金和项目实施周期1年，2024年1月至2024年12月。</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Cs w:val="32"/>
        </w:rPr>
      </w:pPr>
      <w:r>
        <w:rPr>
          <w:rFonts w:hint="default" w:ascii="Times New Roman" w:hAnsi="Times New Roman" w:eastAsia="仿宋_GB2312" w:cs="Times New Roman"/>
          <w:szCs w:val="32"/>
        </w:rPr>
        <w:t>省级科研院所基本科研业务费项目实施周期由承担单位根据实际情况自行确定。</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黑体" w:cs="Times New Roman"/>
          <w:szCs w:val="32"/>
        </w:rPr>
      </w:pPr>
      <w:r>
        <w:rPr>
          <w:rFonts w:hint="default" w:ascii="Times New Roman" w:hAnsi="Times New Roman" w:eastAsia="黑体" w:cs="Times New Roman"/>
          <w:szCs w:val="32"/>
          <w:lang w:eastAsia="zh-CN"/>
        </w:rPr>
        <w:t>——</w:t>
      </w:r>
      <w:r>
        <w:rPr>
          <w:rFonts w:hint="default" w:ascii="Times New Roman" w:hAnsi="Times New Roman" w:eastAsia="黑体" w:cs="Times New Roman"/>
          <w:szCs w:val="32"/>
        </w:rPr>
        <w:t>支持方向和重点</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楷体_GB2312" w:cs="Times New Roman"/>
          <w:szCs w:val="32"/>
        </w:rPr>
      </w:pPr>
      <w:r>
        <w:rPr>
          <w:rFonts w:hint="default" w:ascii="Times New Roman" w:hAnsi="Times New Roman" w:eastAsia="楷体_GB2312" w:cs="Times New Roman"/>
          <w:szCs w:val="32"/>
        </w:rPr>
        <w:t>（一）省级科研院所改善科研条件资金和项目。</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Cs w:val="32"/>
        </w:rPr>
      </w:pPr>
      <w:r>
        <w:rPr>
          <w:rFonts w:hint="default" w:ascii="Times New Roman" w:hAnsi="Times New Roman" w:eastAsia="仿宋_GB2312" w:cs="Times New Roman"/>
          <w:szCs w:val="32"/>
        </w:rPr>
        <w:t>1.连续使用15年以上、且已不能适应科研工作需要的科研用房及科研辅助设施的维修改造。高湿、高寒、高海拔等特殊条件下的科研用房及科研辅助设施，可适当放宽使用年限。</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Cs w:val="32"/>
        </w:rPr>
      </w:pPr>
      <w:r>
        <w:rPr>
          <w:rFonts w:hint="default" w:ascii="Times New Roman" w:hAnsi="Times New Roman" w:eastAsia="仿宋_GB2312" w:cs="Times New Roman"/>
          <w:szCs w:val="32"/>
        </w:rPr>
        <w:t>2.水、暖、电、气及环境保护等基础设施的维修改造。</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Cs w:val="32"/>
        </w:rPr>
      </w:pPr>
      <w:r>
        <w:rPr>
          <w:rFonts w:hint="default" w:ascii="Times New Roman" w:hAnsi="Times New Roman" w:eastAsia="仿宋_GB2312" w:cs="Times New Roman"/>
          <w:szCs w:val="32"/>
        </w:rPr>
        <w:t>3.直接为科学研究工作服务的科学仪器设备、文献资料（含电子图书等）购置。</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Cs w:val="32"/>
        </w:rPr>
      </w:pPr>
      <w:r>
        <w:rPr>
          <w:rFonts w:hint="default" w:ascii="Times New Roman" w:hAnsi="Times New Roman" w:eastAsia="仿宋_GB2312" w:cs="Times New Roman"/>
          <w:szCs w:val="32"/>
        </w:rPr>
        <w:t>4.利用成熟技术，自主研制用于科研的仪器设备，或对尚有较好利用价值、直接服务于科学研究的仪器设备所进行的功能扩展、技术升级等。</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Cs w:val="32"/>
        </w:rPr>
      </w:pPr>
      <w:r>
        <w:rPr>
          <w:rFonts w:hint="default" w:ascii="Times New Roman" w:hAnsi="Times New Roman" w:eastAsia="仿宋_GB2312" w:cs="Times New Roman"/>
          <w:szCs w:val="32"/>
        </w:rPr>
        <w:t>5.信息网络建设、安全隐患排查和整治等其他工作。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楷体_GB2312" w:cs="Times New Roman"/>
          <w:szCs w:val="32"/>
        </w:rPr>
      </w:pPr>
      <w:r>
        <w:rPr>
          <w:rFonts w:hint="default" w:ascii="Times New Roman" w:hAnsi="Times New Roman" w:eastAsia="楷体_GB2312" w:cs="Times New Roman"/>
          <w:szCs w:val="32"/>
        </w:rPr>
        <w:t>（二）省级科研院所基本科研业务费。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Cs w:val="32"/>
        </w:rPr>
      </w:pPr>
      <w:r>
        <w:rPr>
          <w:rFonts w:hint="default" w:ascii="Times New Roman" w:hAnsi="Times New Roman" w:eastAsia="仿宋_GB2312" w:cs="Times New Roman"/>
          <w:szCs w:val="32"/>
        </w:rPr>
        <w:t>1.由科研院所自主选题开展的科研工作；</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Cs w:val="32"/>
        </w:rPr>
      </w:pPr>
      <w:r>
        <w:rPr>
          <w:rFonts w:hint="default" w:ascii="Times New Roman" w:hAnsi="Times New Roman" w:eastAsia="仿宋_GB2312" w:cs="Times New Roman"/>
          <w:szCs w:val="32"/>
        </w:rPr>
        <w:t>2.所属行业基础性、支撑性、应急性科研工作；</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Cs w:val="32"/>
        </w:rPr>
      </w:pPr>
      <w:r>
        <w:rPr>
          <w:rFonts w:hint="default" w:ascii="Times New Roman" w:hAnsi="Times New Roman" w:eastAsia="仿宋_GB2312" w:cs="Times New Roman"/>
          <w:szCs w:val="32"/>
        </w:rPr>
        <w:t>3.团队建设及年轻人才培养；</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Cs w:val="32"/>
        </w:rPr>
      </w:pPr>
      <w:r>
        <w:rPr>
          <w:rFonts w:hint="default" w:ascii="Times New Roman" w:hAnsi="Times New Roman" w:eastAsia="仿宋_GB2312" w:cs="Times New Roman"/>
          <w:szCs w:val="32"/>
        </w:rPr>
        <w:t>4.开展国际科技合作与交流；</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Cs w:val="32"/>
        </w:rPr>
      </w:pPr>
      <w:r>
        <w:rPr>
          <w:rFonts w:hint="default" w:ascii="Times New Roman" w:hAnsi="Times New Roman" w:eastAsia="仿宋_GB2312" w:cs="Times New Roman"/>
          <w:szCs w:val="32"/>
        </w:rPr>
        <w:t>5.科技基础性工作等其他工作。</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黑体" w:cs="Times New Roman"/>
          <w:szCs w:val="32"/>
        </w:rPr>
      </w:pPr>
      <w:r>
        <w:rPr>
          <w:rFonts w:hint="eastAsia" w:eastAsia="黑体" w:cs="Times New Roman"/>
          <w:szCs w:val="32"/>
          <w:lang w:eastAsia="zh-CN"/>
        </w:rPr>
        <w:t>——</w:t>
      </w:r>
      <w:r>
        <w:rPr>
          <w:rFonts w:hint="default" w:ascii="Times New Roman" w:hAnsi="Times New Roman" w:eastAsia="黑体" w:cs="Times New Roman"/>
          <w:szCs w:val="32"/>
        </w:rPr>
        <w:t>有关要求</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楷体_GB2312" w:cs="Times New Roman"/>
          <w:szCs w:val="32"/>
        </w:rPr>
      </w:pPr>
      <w:r>
        <w:rPr>
          <w:rFonts w:hint="default" w:ascii="Times New Roman" w:hAnsi="Times New Roman" w:eastAsia="楷体_GB2312" w:cs="Times New Roman"/>
          <w:szCs w:val="32"/>
        </w:rPr>
        <w:t>（一）省级科研院所改善科研条件资金和项目。</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Cs w:val="32"/>
        </w:rPr>
      </w:pPr>
      <w:r>
        <w:rPr>
          <w:rFonts w:hint="default" w:ascii="Times New Roman" w:hAnsi="Times New Roman" w:eastAsia="仿宋_GB2312" w:cs="Times New Roman"/>
          <w:szCs w:val="32"/>
        </w:rPr>
        <w:t>1.申报单位用单位账号登陆，在线填写《四川省级科研院所改善科研条件资金和项目申报书》。</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Cs w:val="32"/>
        </w:rPr>
      </w:pPr>
      <w:r>
        <w:rPr>
          <w:rFonts w:hint="default" w:ascii="Times New Roman" w:hAnsi="Times New Roman" w:eastAsia="仿宋_GB2312" w:cs="Times New Roman"/>
          <w:szCs w:val="32"/>
        </w:rPr>
        <w:t>2.申报单位提前做好项目可行性研究及必要的勘察、设计、论证、询价等前期工作。申报50万（含）以上维修改造、信息网络建设、单台（套）价格50万（含）以上仪器设备购置等需报送可行性论证报告。</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Cs w:val="32"/>
        </w:rPr>
      </w:pPr>
      <w:r>
        <w:rPr>
          <w:rFonts w:hint="default" w:ascii="Times New Roman" w:hAnsi="Times New Roman" w:eastAsia="仿宋_GB2312" w:cs="Times New Roman"/>
          <w:szCs w:val="32"/>
        </w:rPr>
        <w:t>3.每个单位限报2项。</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Cs w:val="32"/>
        </w:rPr>
      </w:pPr>
      <w:r>
        <w:rPr>
          <w:rFonts w:hint="default" w:ascii="Times New Roman" w:hAnsi="Times New Roman" w:eastAsia="仿宋_GB2312" w:cs="Times New Roman"/>
          <w:szCs w:val="32"/>
        </w:rPr>
        <w:t>4.申报单位要提出明确的绩效目标，资金使用对科学研究和技术服务能力的提升作用，项目实施产生的经济和社会效益。</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楷体_GB2312" w:cs="Times New Roman"/>
          <w:szCs w:val="32"/>
        </w:rPr>
      </w:pPr>
      <w:r>
        <w:rPr>
          <w:rFonts w:hint="default" w:ascii="Times New Roman" w:hAnsi="Times New Roman" w:eastAsia="楷体_GB2312" w:cs="Times New Roman"/>
          <w:szCs w:val="32"/>
        </w:rPr>
        <w:t>（二）省级科研院所基本科研业务费。</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Cs w:val="32"/>
        </w:rPr>
      </w:pPr>
      <w:r>
        <w:rPr>
          <w:rFonts w:hint="default" w:ascii="Times New Roman" w:hAnsi="Times New Roman" w:eastAsia="仿宋_GB2312" w:cs="Times New Roman"/>
          <w:szCs w:val="32"/>
        </w:rPr>
        <w:t>1.申报单位用单位账号登陆，在线填写《四川省省级科研院所基本科研业务费申报书》。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Cs w:val="32"/>
        </w:rPr>
      </w:pPr>
      <w:r>
        <w:rPr>
          <w:rFonts w:hint="default" w:ascii="Times New Roman" w:hAnsi="Times New Roman" w:eastAsia="仿宋_GB2312" w:cs="Times New Roman"/>
          <w:szCs w:val="32"/>
        </w:rPr>
        <w:t>2.省级科研院所基本科研业务费项目负责人应为1979年1月1日后出生。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Cs w:val="32"/>
        </w:rPr>
      </w:pPr>
      <w:r>
        <w:rPr>
          <w:rFonts w:hint="default" w:ascii="Times New Roman" w:hAnsi="Times New Roman" w:eastAsia="仿宋_GB2312" w:cs="Times New Roman"/>
          <w:szCs w:val="32"/>
        </w:rPr>
        <w:t>3.本年度省级科研院所基本科研业务费应在2024年3月底之前完成立项安排。</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Cs w:val="32"/>
        </w:rPr>
      </w:pPr>
      <w:r>
        <w:rPr>
          <w:rFonts w:hint="default" w:ascii="Times New Roman" w:hAnsi="Times New Roman" w:eastAsia="仿宋_GB2312" w:cs="Times New Roman"/>
          <w:szCs w:val="32"/>
        </w:rPr>
        <w:t>4.申报单位要提出明确的绩效目标，资金使用对本单位或本领域科技创新和人才培养的作用。</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Cs w:val="32"/>
        </w:rPr>
      </w:pPr>
      <w:r>
        <w:rPr>
          <w:rFonts w:hint="default" w:ascii="Times New Roman" w:hAnsi="Times New Roman" w:eastAsia="仿宋_GB2312" w:cs="Times New Roman"/>
          <w:szCs w:val="32"/>
        </w:rPr>
        <w:t>5.省级科研院所基本科研业务费采用因素分配法分配。</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楷体_GB2312" w:cs="Times New Roman"/>
          <w:szCs w:val="32"/>
        </w:rPr>
      </w:pPr>
      <w:r>
        <w:rPr>
          <w:rFonts w:hint="default" w:ascii="Times New Roman" w:hAnsi="Times New Roman" w:eastAsia="楷体_GB2312" w:cs="Times New Roman"/>
          <w:szCs w:val="32"/>
        </w:rPr>
        <w:t>（</w:t>
      </w:r>
      <w:r>
        <w:rPr>
          <w:rFonts w:hint="default" w:ascii="Times New Roman" w:hAnsi="Times New Roman" w:eastAsia="楷体_GB2312" w:cs="Times New Roman"/>
          <w:szCs w:val="32"/>
          <w:lang w:eastAsia="zh-CN"/>
        </w:rPr>
        <w:t>三</w:t>
      </w:r>
      <w:r>
        <w:rPr>
          <w:rFonts w:hint="default" w:ascii="Times New Roman" w:hAnsi="Times New Roman" w:eastAsia="楷体_GB2312" w:cs="Times New Roman"/>
          <w:szCs w:val="32"/>
        </w:rPr>
        <w:t>）其他要求。</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Cs w:val="32"/>
        </w:rPr>
      </w:pPr>
      <w:r>
        <w:rPr>
          <w:rFonts w:hint="default" w:ascii="Times New Roman" w:hAnsi="Times New Roman" w:cs="Times New Roman"/>
          <w:szCs w:val="32"/>
          <w:lang w:val="en-US" w:eastAsia="zh-CN"/>
        </w:rPr>
        <w:t>1.</w:t>
      </w:r>
      <w:r>
        <w:rPr>
          <w:rFonts w:hint="default" w:ascii="Times New Roman" w:hAnsi="Times New Roman" w:eastAsia="仿宋_GB2312" w:cs="Times New Roman"/>
          <w:szCs w:val="32"/>
        </w:rPr>
        <w:t>科研院所改革发展项目申报单位提出的绩效目标应当明确。根据各类项目特点及目标，包括但不限于突破技术瓶颈，解决“卡脖子”技术、关键技术问题，获得（申请）发明专利、实用新型专利，培养、引进人才和团队，项目产品实现销售收入，乡村振兴目标及其他经济社会效益目标等。</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szCs w:val="32"/>
          <w:lang w:val="en-US" w:eastAsia="zh-CN"/>
        </w:rPr>
      </w:pPr>
      <w:r>
        <w:rPr>
          <w:rFonts w:hint="default" w:ascii="Times New Roman" w:hAnsi="Times New Roman" w:eastAsia="仿宋_GB2312" w:cs="Times New Roman"/>
          <w:szCs w:val="32"/>
          <w:lang w:val="en-US" w:eastAsia="zh-CN"/>
        </w:rPr>
        <w:t>2.2023年科研院所落实科研助理岗位开发任务情况作为立项的重要指标。</w:t>
      </w:r>
    </w:p>
    <w:p>
      <w:pPr>
        <w:keepNext w:val="0"/>
        <w:keepLines w:val="0"/>
        <w:pageBreakBefore w:val="0"/>
        <w:widowControl/>
        <w:kinsoku/>
        <w:wordWrap/>
        <w:overflowPunct/>
        <w:topLinePunct w:val="0"/>
        <w:autoSpaceDE/>
        <w:autoSpaceDN/>
        <w:bidi w:val="0"/>
        <w:adjustRightInd/>
        <w:snapToGrid/>
        <w:spacing w:line="560" w:lineRule="exact"/>
        <w:jc w:val="both"/>
        <w:textAlignment w:val="auto"/>
        <w:rPr>
          <w:rFonts w:hint="default" w:ascii="Times New Roman" w:hAnsi="Times New Roman" w:eastAsia="仿宋_GB2312" w:cs="Times New Roman"/>
          <w:szCs w:val="32"/>
        </w:rPr>
      </w:pPr>
    </w:p>
    <w:p>
      <w:pPr>
        <w:keepNext w:val="0"/>
        <w:keepLines w:val="0"/>
        <w:pageBreakBefore w:val="0"/>
        <w:widowControl/>
        <w:tabs>
          <w:tab w:val="left" w:pos="2410"/>
        </w:tabs>
        <w:kinsoku/>
        <w:wordWrap/>
        <w:overflowPunct/>
        <w:topLinePunct w:val="0"/>
        <w:autoSpaceDE/>
        <w:autoSpaceDN/>
        <w:bidi w:val="0"/>
        <w:adjustRightInd/>
        <w:snapToGrid/>
        <w:spacing w:line="560" w:lineRule="exact"/>
        <w:ind w:left="1836" w:leftChars="224" w:hanging="1120" w:hangingChars="350"/>
        <w:jc w:val="both"/>
        <w:textAlignment w:val="auto"/>
        <w:rPr>
          <w:rFonts w:hint="default" w:ascii="Times New Roman" w:hAnsi="Times New Roman" w:eastAsia="仿宋_GB2312" w:cs="Times New Roman"/>
          <w:szCs w:val="32"/>
        </w:rPr>
      </w:pPr>
      <w:r>
        <w:rPr>
          <w:rFonts w:hint="default" w:ascii="Times New Roman" w:hAnsi="Times New Roman" w:eastAsia="仿宋_GB2312" w:cs="Times New Roman"/>
          <w:szCs w:val="32"/>
        </w:rPr>
        <w:t>附</w:t>
      </w:r>
      <w:r>
        <w:rPr>
          <w:rFonts w:hint="default" w:ascii="Times New Roman" w:hAnsi="Times New Roman" w:eastAsia="仿宋_GB2312" w:cs="Times New Roman"/>
          <w:szCs w:val="32"/>
          <w:lang w:eastAsia="zh-CN"/>
        </w:rPr>
        <w:t>表</w:t>
      </w:r>
      <w:r>
        <w:rPr>
          <w:rFonts w:hint="default" w:ascii="Times New Roman" w:hAnsi="Times New Roman" w:eastAsia="仿宋_GB2312" w:cs="Times New Roman"/>
          <w:szCs w:val="32"/>
        </w:rPr>
        <w:t>：1.省级科研院所改善科研条件资金和项目申报单位  名单</w:t>
      </w:r>
    </w:p>
    <w:p>
      <w:pPr>
        <w:keepNext w:val="0"/>
        <w:keepLines w:val="0"/>
        <w:pageBreakBefore w:val="0"/>
        <w:widowControl/>
        <w:kinsoku/>
        <w:wordWrap/>
        <w:overflowPunct/>
        <w:topLinePunct w:val="0"/>
        <w:autoSpaceDE/>
        <w:autoSpaceDN/>
        <w:bidi w:val="0"/>
        <w:adjustRightInd/>
        <w:snapToGrid/>
        <w:spacing w:line="560" w:lineRule="exact"/>
        <w:ind w:firstLine="1600" w:firstLineChars="500"/>
        <w:jc w:val="both"/>
        <w:textAlignment w:val="auto"/>
        <w:rPr>
          <w:rFonts w:hint="default" w:ascii="Times New Roman" w:hAnsi="Times New Roman" w:eastAsia="仿宋_GB2312" w:cs="Times New Roman"/>
          <w:szCs w:val="32"/>
        </w:rPr>
      </w:pPr>
      <w:r>
        <w:rPr>
          <w:rFonts w:hint="default" w:ascii="Times New Roman" w:hAnsi="Times New Roman" w:eastAsia="仿宋_GB2312" w:cs="Times New Roman"/>
          <w:szCs w:val="32"/>
        </w:rPr>
        <w:t>2.省级科研院所基本科研业务费申报单位名单</w:t>
      </w:r>
    </w:p>
    <w:p>
      <w:pPr>
        <w:keepNext w:val="0"/>
        <w:keepLines w:val="0"/>
        <w:pageBreakBefore w:val="0"/>
        <w:kinsoku/>
        <w:wordWrap/>
        <w:bidi w:val="0"/>
        <w:spacing w:line="560" w:lineRule="exact"/>
        <w:ind w:firstLine="1440" w:firstLineChars="450"/>
        <w:jc w:val="both"/>
        <w:textAlignment w:val="auto"/>
        <w:rPr>
          <w:rFonts w:hint="default" w:ascii="Times New Roman" w:hAnsi="Times New Roman" w:eastAsia="仿宋_GB2312" w:cs="Times New Roman"/>
          <w:szCs w:val="32"/>
        </w:rPr>
      </w:pPr>
    </w:p>
    <w:p>
      <w:pPr>
        <w:keepNext w:val="0"/>
        <w:keepLines w:val="0"/>
        <w:pageBreakBefore w:val="0"/>
        <w:kinsoku/>
        <w:wordWrap/>
        <w:bidi w:val="0"/>
        <w:spacing w:line="560" w:lineRule="exact"/>
        <w:ind w:firstLine="1440" w:firstLineChars="450"/>
        <w:jc w:val="both"/>
        <w:textAlignment w:val="auto"/>
        <w:rPr>
          <w:rFonts w:hint="default" w:ascii="Times New Roman" w:hAnsi="Times New Roman" w:eastAsia="仿宋_GB2312" w:cs="Times New Roman"/>
          <w:szCs w:val="32"/>
        </w:rPr>
      </w:pPr>
    </w:p>
    <w:p>
      <w:pPr>
        <w:keepNext w:val="0"/>
        <w:keepLines w:val="0"/>
        <w:pageBreakBefore w:val="0"/>
        <w:kinsoku/>
        <w:wordWrap/>
        <w:bidi w:val="0"/>
        <w:spacing w:line="560" w:lineRule="exact"/>
        <w:ind w:firstLine="1440" w:firstLineChars="450"/>
        <w:jc w:val="both"/>
        <w:textAlignment w:val="auto"/>
        <w:rPr>
          <w:rFonts w:hint="default" w:ascii="Times New Roman" w:hAnsi="Times New Roman" w:eastAsia="仿宋_GB2312" w:cs="Times New Roman"/>
          <w:szCs w:val="32"/>
        </w:rPr>
      </w:pPr>
    </w:p>
    <w:p>
      <w:pPr>
        <w:keepNext w:val="0"/>
        <w:keepLines w:val="0"/>
        <w:pageBreakBefore w:val="0"/>
        <w:kinsoku/>
        <w:wordWrap/>
        <w:bidi w:val="0"/>
        <w:spacing w:line="560" w:lineRule="exact"/>
        <w:ind w:firstLine="1440" w:firstLineChars="450"/>
        <w:jc w:val="both"/>
        <w:textAlignment w:val="auto"/>
        <w:rPr>
          <w:rFonts w:hint="default" w:ascii="Times New Roman" w:hAnsi="Times New Roman" w:eastAsia="仿宋_GB2312" w:cs="Times New Roman"/>
          <w:szCs w:val="32"/>
        </w:rPr>
      </w:pPr>
    </w:p>
    <w:p>
      <w:pPr>
        <w:keepNext w:val="0"/>
        <w:keepLines w:val="0"/>
        <w:pageBreakBefore w:val="0"/>
        <w:kinsoku/>
        <w:wordWrap/>
        <w:bidi w:val="0"/>
        <w:spacing w:line="560" w:lineRule="exact"/>
        <w:ind w:firstLine="1440" w:firstLineChars="450"/>
        <w:jc w:val="both"/>
        <w:textAlignment w:val="auto"/>
        <w:rPr>
          <w:rFonts w:hint="default" w:ascii="Times New Roman" w:hAnsi="Times New Roman" w:eastAsia="仿宋_GB2312" w:cs="Times New Roman"/>
          <w:szCs w:val="32"/>
        </w:rPr>
      </w:pPr>
    </w:p>
    <w:p>
      <w:pPr>
        <w:keepNext w:val="0"/>
        <w:keepLines w:val="0"/>
        <w:pageBreakBefore w:val="0"/>
        <w:kinsoku/>
        <w:wordWrap/>
        <w:bidi w:val="0"/>
        <w:spacing w:line="560" w:lineRule="exact"/>
        <w:ind w:firstLine="1440" w:firstLineChars="450"/>
        <w:jc w:val="both"/>
        <w:textAlignment w:val="auto"/>
        <w:rPr>
          <w:rFonts w:hint="default" w:ascii="Times New Roman" w:hAnsi="Times New Roman" w:eastAsia="仿宋_GB2312" w:cs="Times New Roman"/>
          <w:szCs w:val="32"/>
        </w:rPr>
      </w:pPr>
    </w:p>
    <w:p>
      <w:pPr>
        <w:keepNext w:val="0"/>
        <w:keepLines w:val="0"/>
        <w:pageBreakBefore w:val="0"/>
        <w:widowControl/>
        <w:kinsoku/>
        <w:wordWrap/>
        <w:bidi w:val="0"/>
        <w:spacing w:line="560" w:lineRule="exact"/>
        <w:jc w:val="both"/>
        <w:textAlignment w:val="auto"/>
        <w:rPr>
          <w:rFonts w:hint="default" w:ascii="Times New Roman" w:hAnsi="Times New Roman" w:eastAsia="黑体" w:cs="Times New Roman"/>
          <w:kern w:val="0"/>
          <w:szCs w:val="32"/>
          <w:lang w:val="en"/>
        </w:rPr>
      </w:pPr>
      <w:r>
        <w:rPr>
          <w:rFonts w:hint="default" w:ascii="Times New Roman" w:hAnsi="Times New Roman" w:eastAsia="黑体" w:cs="Times New Roman"/>
          <w:kern w:val="0"/>
          <w:szCs w:val="32"/>
        </w:rPr>
        <w:t>附</w:t>
      </w:r>
      <w:r>
        <w:rPr>
          <w:rFonts w:hint="default" w:ascii="Times New Roman" w:hAnsi="Times New Roman" w:eastAsia="黑体" w:cs="Times New Roman"/>
          <w:kern w:val="0"/>
          <w:szCs w:val="32"/>
          <w:lang w:eastAsia="zh-CN"/>
        </w:rPr>
        <w:t>表</w:t>
      </w:r>
      <w:r>
        <w:rPr>
          <w:rFonts w:hint="default" w:ascii="Times New Roman" w:hAnsi="Times New Roman" w:eastAsia="黑体" w:cs="Times New Roman"/>
          <w:kern w:val="0"/>
          <w:szCs w:val="32"/>
          <w:lang w:val="en"/>
        </w:rPr>
        <w:t>1</w:t>
      </w:r>
    </w:p>
    <w:p>
      <w:pPr>
        <w:keepNext w:val="0"/>
        <w:keepLines w:val="0"/>
        <w:pageBreakBefore w:val="0"/>
        <w:widowControl/>
        <w:kinsoku/>
        <w:wordWrap/>
        <w:bidi w:val="0"/>
        <w:spacing w:line="560" w:lineRule="exact"/>
        <w:jc w:val="both"/>
        <w:textAlignment w:val="auto"/>
        <w:rPr>
          <w:rFonts w:hint="default" w:ascii="Times New Roman" w:hAnsi="Times New Roman" w:eastAsia="方正小标宋_GBK" w:cs="Times New Roman"/>
          <w:kern w:val="0"/>
          <w:sz w:val="40"/>
          <w:szCs w:val="40"/>
        </w:rPr>
      </w:pPr>
    </w:p>
    <w:p>
      <w:pPr>
        <w:keepNext w:val="0"/>
        <w:keepLines w:val="0"/>
        <w:pageBreakBefore w:val="0"/>
        <w:widowControl/>
        <w:kinsoku/>
        <w:wordWrap/>
        <w:bidi w:val="0"/>
        <w:spacing w:line="560" w:lineRule="exact"/>
        <w:jc w:val="center"/>
        <w:textAlignment w:val="auto"/>
        <w:rPr>
          <w:rFonts w:hint="default" w:ascii="Times New Roman" w:hAnsi="Times New Roman" w:eastAsia="方正小标宋简体" w:cs="Times New Roman"/>
          <w:kern w:val="0"/>
          <w:sz w:val="36"/>
          <w:szCs w:val="36"/>
        </w:rPr>
      </w:pPr>
      <w:r>
        <w:rPr>
          <w:rFonts w:hint="default" w:ascii="Times New Roman" w:hAnsi="Times New Roman" w:eastAsia="方正小标宋_GBK" w:cs="Times New Roman"/>
          <w:kern w:val="0"/>
          <w:sz w:val="36"/>
          <w:szCs w:val="36"/>
        </w:rPr>
        <w:t>省级科研院所改善科研条件资金和项目申报单位名单</w:t>
      </w:r>
    </w:p>
    <w:tbl>
      <w:tblPr>
        <w:tblStyle w:val="11"/>
        <w:tblW w:w="8595" w:type="dxa"/>
        <w:jc w:val="center"/>
        <w:tblLayout w:type="autofit"/>
        <w:tblCellMar>
          <w:top w:w="0" w:type="dxa"/>
          <w:left w:w="0" w:type="dxa"/>
          <w:bottom w:w="0" w:type="dxa"/>
          <w:right w:w="0" w:type="dxa"/>
        </w:tblCellMar>
      </w:tblPr>
      <w:tblGrid>
        <w:gridCol w:w="1115"/>
        <w:gridCol w:w="7480"/>
      </w:tblGrid>
      <w:tr>
        <w:tblPrEx>
          <w:tblCellMar>
            <w:top w:w="0" w:type="dxa"/>
            <w:left w:w="0" w:type="dxa"/>
            <w:bottom w:w="0" w:type="dxa"/>
            <w:right w:w="0" w:type="dxa"/>
          </w:tblCellMar>
        </w:tblPrEx>
        <w:trPr>
          <w:trHeight w:val="397" w:hRule="exact"/>
          <w:jc w:val="center"/>
        </w:trPr>
        <w:tc>
          <w:tcPr>
            <w:tcW w:w="111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黑体" w:cs="Times New Roman"/>
                <w:kern w:val="0"/>
                <w:sz w:val="24"/>
                <w:szCs w:val="24"/>
              </w:rPr>
            </w:pPr>
            <w:r>
              <w:rPr>
                <w:rFonts w:hint="default" w:ascii="Times New Roman" w:hAnsi="Times New Roman" w:eastAsia="黑体" w:cs="Times New Roman"/>
                <w:kern w:val="0"/>
                <w:sz w:val="24"/>
                <w:szCs w:val="24"/>
              </w:rPr>
              <w:t>序号</w:t>
            </w:r>
          </w:p>
        </w:tc>
        <w:tc>
          <w:tcPr>
            <w:tcW w:w="748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黑体" w:cs="Times New Roman"/>
                <w:kern w:val="0"/>
                <w:sz w:val="24"/>
                <w:szCs w:val="24"/>
              </w:rPr>
            </w:pPr>
            <w:r>
              <w:rPr>
                <w:rFonts w:hint="default" w:ascii="Times New Roman" w:hAnsi="Times New Roman" w:eastAsia="黑体" w:cs="Times New Roman"/>
                <w:kern w:val="0"/>
                <w:sz w:val="24"/>
                <w:szCs w:val="24"/>
              </w:rPr>
              <w:t>单位名称</w:t>
            </w:r>
          </w:p>
        </w:tc>
      </w:tr>
      <w:tr>
        <w:tblPrEx>
          <w:tblCellMar>
            <w:top w:w="0" w:type="dxa"/>
            <w:left w:w="0" w:type="dxa"/>
            <w:bottom w:w="0" w:type="dxa"/>
            <w:right w:w="0" w:type="dxa"/>
          </w:tblCellMar>
        </w:tblPrEx>
        <w:trPr>
          <w:trHeight w:val="397" w:hRule="exact"/>
          <w:jc w:val="center"/>
        </w:trPr>
        <w:tc>
          <w:tcPr>
            <w:tcW w:w="111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1</w:t>
            </w:r>
          </w:p>
        </w:tc>
        <w:tc>
          <w:tcPr>
            <w:tcW w:w="7480" w:type="dxa"/>
            <w:tcBorders>
              <w:top w:val="nil"/>
              <w:left w:val="nil"/>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四川省自然资源科学研究院</w:t>
            </w:r>
          </w:p>
        </w:tc>
      </w:tr>
      <w:tr>
        <w:tblPrEx>
          <w:tblCellMar>
            <w:top w:w="0" w:type="dxa"/>
            <w:left w:w="0" w:type="dxa"/>
            <w:bottom w:w="0" w:type="dxa"/>
            <w:right w:w="0" w:type="dxa"/>
          </w:tblCellMar>
        </w:tblPrEx>
        <w:trPr>
          <w:trHeight w:val="397" w:hRule="exact"/>
          <w:jc w:val="center"/>
        </w:trPr>
        <w:tc>
          <w:tcPr>
            <w:tcW w:w="111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2</w:t>
            </w:r>
          </w:p>
        </w:tc>
        <w:tc>
          <w:tcPr>
            <w:tcW w:w="7480" w:type="dxa"/>
            <w:tcBorders>
              <w:top w:val="nil"/>
              <w:left w:val="nil"/>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四川省科学技术信息研究所</w:t>
            </w:r>
          </w:p>
        </w:tc>
      </w:tr>
      <w:tr>
        <w:tblPrEx>
          <w:tblCellMar>
            <w:top w:w="0" w:type="dxa"/>
            <w:left w:w="0" w:type="dxa"/>
            <w:bottom w:w="0" w:type="dxa"/>
            <w:right w:w="0" w:type="dxa"/>
          </w:tblCellMar>
        </w:tblPrEx>
        <w:trPr>
          <w:trHeight w:val="397" w:hRule="exact"/>
          <w:jc w:val="center"/>
        </w:trPr>
        <w:tc>
          <w:tcPr>
            <w:tcW w:w="111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3</w:t>
            </w:r>
          </w:p>
        </w:tc>
        <w:tc>
          <w:tcPr>
            <w:tcW w:w="7480" w:type="dxa"/>
            <w:tcBorders>
              <w:top w:val="nil"/>
              <w:left w:val="nil"/>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四川省科学技术发展战略研究院</w:t>
            </w:r>
          </w:p>
        </w:tc>
      </w:tr>
      <w:tr>
        <w:tblPrEx>
          <w:tblCellMar>
            <w:top w:w="0" w:type="dxa"/>
            <w:left w:w="0" w:type="dxa"/>
            <w:bottom w:w="0" w:type="dxa"/>
            <w:right w:w="0" w:type="dxa"/>
          </w:tblCellMar>
        </w:tblPrEx>
        <w:trPr>
          <w:trHeight w:val="397" w:hRule="exact"/>
          <w:jc w:val="center"/>
        </w:trPr>
        <w:tc>
          <w:tcPr>
            <w:tcW w:w="111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4</w:t>
            </w:r>
          </w:p>
        </w:tc>
        <w:tc>
          <w:tcPr>
            <w:tcW w:w="7480" w:type="dxa"/>
            <w:tcBorders>
              <w:top w:val="nil"/>
              <w:left w:val="nil"/>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四川省分析测试服务中心</w:t>
            </w:r>
          </w:p>
        </w:tc>
      </w:tr>
      <w:tr>
        <w:tblPrEx>
          <w:tblCellMar>
            <w:top w:w="0" w:type="dxa"/>
            <w:left w:w="0" w:type="dxa"/>
            <w:bottom w:w="0" w:type="dxa"/>
            <w:right w:w="0" w:type="dxa"/>
          </w:tblCellMar>
        </w:tblPrEx>
        <w:trPr>
          <w:trHeight w:val="397" w:hRule="exact"/>
          <w:jc w:val="center"/>
        </w:trPr>
        <w:tc>
          <w:tcPr>
            <w:tcW w:w="111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5</w:t>
            </w:r>
          </w:p>
        </w:tc>
        <w:tc>
          <w:tcPr>
            <w:tcW w:w="7480" w:type="dxa"/>
            <w:tcBorders>
              <w:top w:val="nil"/>
              <w:left w:val="nil"/>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四川省科学技术研究成果档案馆</w:t>
            </w:r>
          </w:p>
        </w:tc>
      </w:tr>
      <w:tr>
        <w:tblPrEx>
          <w:tblCellMar>
            <w:top w:w="0" w:type="dxa"/>
            <w:left w:w="0" w:type="dxa"/>
            <w:bottom w:w="0" w:type="dxa"/>
            <w:right w:w="0" w:type="dxa"/>
          </w:tblCellMar>
        </w:tblPrEx>
        <w:trPr>
          <w:trHeight w:val="397" w:hRule="exact"/>
          <w:jc w:val="center"/>
        </w:trPr>
        <w:tc>
          <w:tcPr>
            <w:tcW w:w="111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6</w:t>
            </w:r>
          </w:p>
        </w:tc>
        <w:tc>
          <w:tcPr>
            <w:tcW w:w="7480" w:type="dxa"/>
            <w:tcBorders>
              <w:top w:val="nil"/>
              <w:left w:val="nil"/>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四川省农村科技发展中心</w:t>
            </w:r>
          </w:p>
        </w:tc>
      </w:tr>
      <w:tr>
        <w:tblPrEx>
          <w:tblCellMar>
            <w:top w:w="0" w:type="dxa"/>
            <w:left w:w="0" w:type="dxa"/>
            <w:bottom w:w="0" w:type="dxa"/>
            <w:right w:w="0" w:type="dxa"/>
          </w:tblCellMar>
        </w:tblPrEx>
        <w:trPr>
          <w:trHeight w:val="397" w:hRule="exact"/>
          <w:jc w:val="center"/>
        </w:trPr>
        <w:tc>
          <w:tcPr>
            <w:tcW w:w="111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7</w:t>
            </w:r>
          </w:p>
        </w:tc>
        <w:tc>
          <w:tcPr>
            <w:tcW w:w="7480" w:type="dxa"/>
            <w:tcBorders>
              <w:top w:val="nil"/>
              <w:left w:val="nil"/>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四川省科技交流中心</w:t>
            </w:r>
          </w:p>
        </w:tc>
      </w:tr>
      <w:tr>
        <w:tblPrEx>
          <w:tblCellMar>
            <w:top w:w="0" w:type="dxa"/>
            <w:left w:w="0" w:type="dxa"/>
            <w:bottom w:w="0" w:type="dxa"/>
            <w:right w:w="0" w:type="dxa"/>
          </w:tblCellMar>
        </w:tblPrEx>
        <w:trPr>
          <w:trHeight w:val="397" w:hRule="exact"/>
          <w:jc w:val="center"/>
        </w:trPr>
        <w:tc>
          <w:tcPr>
            <w:tcW w:w="111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8</w:t>
            </w:r>
          </w:p>
        </w:tc>
        <w:tc>
          <w:tcPr>
            <w:tcW w:w="7480" w:type="dxa"/>
            <w:tcBorders>
              <w:top w:val="nil"/>
              <w:left w:val="nil"/>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四川省计算机研究院</w:t>
            </w:r>
          </w:p>
        </w:tc>
      </w:tr>
      <w:tr>
        <w:tblPrEx>
          <w:tblCellMar>
            <w:top w:w="0" w:type="dxa"/>
            <w:left w:w="0" w:type="dxa"/>
            <w:bottom w:w="0" w:type="dxa"/>
            <w:right w:w="0" w:type="dxa"/>
          </w:tblCellMar>
        </w:tblPrEx>
        <w:trPr>
          <w:trHeight w:val="397" w:hRule="exact"/>
          <w:jc w:val="center"/>
        </w:trPr>
        <w:tc>
          <w:tcPr>
            <w:tcW w:w="111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9</w:t>
            </w:r>
          </w:p>
        </w:tc>
        <w:tc>
          <w:tcPr>
            <w:tcW w:w="7480" w:type="dxa"/>
            <w:tcBorders>
              <w:top w:val="nil"/>
              <w:left w:val="nil"/>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四川省原子能研究院</w:t>
            </w:r>
          </w:p>
        </w:tc>
      </w:tr>
      <w:tr>
        <w:tblPrEx>
          <w:tblCellMar>
            <w:top w:w="0" w:type="dxa"/>
            <w:left w:w="0" w:type="dxa"/>
            <w:bottom w:w="0" w:type="dxa"/>
            <w:right w:w="0" w:type="dxa"/>
          </w:tblCellMar>
        </w:tblPrEx>
        <w:trPr>
          <w:trHeight w:val="397" w:hRule="exact"/>
          <w:jc w:val="center"/>
        </w:trPr>
        <w:tc>
          <w:tcPr>
            <w:tcW w:w="111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10</w:t>
            </w:r>
          </w:p>
        </w:tc>
        <w:tc>
          <w:tcPr>
            <w:tcW w:w="7480" w:type="dxa"/>
            <w:tcBorders>
              <w:top w:val="nil"/>
              <w:left w:val="nil"/>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四川省工业和信息化研究院</w:t>
            </w:r>
          </w:p>
        </w:tc>
      </w:tr>
      <w:tr>
        <w:tblPrEx>
          <w:tblCellMar>
            <w:top w:w="0" w:type="dxa"/>
            <w:left w:w="0" w:type="dxa"/>
            <w:bottom w:w="0" w:type="dxa"/>
            <w:right w:w="0" w:type="dxa"/>
          </w:tblCellMar>
        </w:tblPrEx>
        <w:trPr>
          <w:trHeight w:val="397" w:hRule="exact"/>
          <w:jc w:val="center"/>
        </w:trPr>
        <w:tc>
          <w:tcPr>
            <w:tcW w:w="111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11</w:t>
            </w:r>
          </w:p>
        </w:tc>
        <w:tc>
          <w:tcPr>
            <w:tcW w:w="7480" w:type="dxa"/>
            <w:tcBorders>
              <w:top w:val="nil"/>
              <w:left w:val="nil"/>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四川省纺织科学研究院有限公司</w:t>
            </w:r>
          </w:p>
        </w:tc>
      </w:tr>
      <w:tr>
        <w:tblPrEx>
          <w:tblCellMar>
            <w:top w:w="0" w:type="dxa"/>
            <w:left w:w="0" w:type="dxa"/>
            <w:bottom w:w="0" w:type="dxa"/>
            <w:right w:w="0" w:type="dxa"/>
          </w:tblCellMar>
        </w:tblPrEx>
        <w:trPr>
          <w:trHeight w:val="397" w:hRule="exact"/>
          <w:jc w:val="center"/>
        </w:trPr>
        <w:tc>
          <w:tcPr>
            <w:tcW w:w="111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12</w:t>
            </w:r>
          </w:p>
        </w:tc>
        <w:tc>
          <w:tcPr>
            <w:tcW w:w="7480" w:type="dxa"/>
            <w:tcBorders>
              <w:top w:val="nil"/>
              <w:left w:val="nil"/>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b w:val="0"/>
                <w:bCs w:val="0"/>
                <w:kern w:val="0"/>
                <w:sz w:val="24"/>
                <w:szCs w:val="24"/>
              </w:rPr>
              <w:t>四川省农业特色植物研究院</w:t>
            </w:r>
          </w:p>
        </w:tc>
      </w:tr>
      <w:tr>
        <w:tblPrEx>
          <w:tblCellMar>
            <w:top w:w="0" w:type="dxa"/>
            <w:left w:w="0" w:type="dxa"/>
            <w:bottom w:w="0" w:type="dxa"/>
            <w:right w:w="0" w:type="dxa"/>
          </w:tblCellMar>
        </w:tblPrEx>
        <w:trPr>
          <w:trHeight w:val="397" w:hRule="exact"/>
          <w:jc w:val="center"/>
        </w:trPr>
        <w:tc>
          <w:tcPr>
            <w:tcW w:w="111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13</w:t>
            </w:r>
          </w:p>
        </w:tc>
        <w:tc>
          <w:tcPr>
            <w:tcW w:w="7480" w:type="dxa"/>
            <w:tcBorders>
              <w:top w:val="nil"/>
              <w:left w:val="nil"/>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四川省工业环境监测研究院</w:t>
            </w:r>
          </w:p>
        </w:tc>
      </w:tr>
      <w:tr>
        <w:tblPrEx>
          <w:tblCellMar>
            <w:top w:w="0" w:type="dxa"/>
            <w:left w:w="0" w:type="dxa"/>
            <w:bottom w:w="0" w:type="dxa"/>
            <w:right w:w="0" w:type="dxa"/>
          </w:tblCellMar>
        </w:tblPrEx>
        <w:trPr>
          <w:trHeight w:val="397" w:hRule="exact"/>
          <w:jc w:val="center"/>
        </w:trPr>
        <w:tc>
          <w:tcPr>
            <w:tcW w:w="111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14</w:t>
            </w:r>
          </w:p>
        </w:tc>
        <w:tc>
          <w:tcPr>
            <w:tcW w:w="7480" w:type="dxa"/>
            <w:tcBorders>
              <w:top w:val="nil"/>
              <w:left w:val="nil"/>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四川省丝绸科学研究院有限公司</w:t>
            </w:r>
          </w:p>
        </w:tc>
      </w:tr>
      <w:tr>
        <w:tblPrEx>
          <w:tblCellMar>
            <w:top w:w="0" w:type="dxa"/>
            <w:left w:w="0" w:type="dxa"/>
            <w:bottom w:w="0" w:type="dxa"/>
            <w:right w:w="0" w:type="dxa"/>
          </w:tblCellMar>
        </w:tblPrEx>
        <w:trPr>
          <w:trHeight w:val="397" w:hRule="exact"/>
          <w:jc w:val="center"/>
        </w:trPr>
        <w:tc>
          <w:tcPr>
            <w:tcW w:w="111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15</w:t>
            </w:r>
          </w:p>
        </w:tc>
        <w:tc>
          <w:tcPr>
            <w:tcW w:w="7480" w:type="dxa"/>
            <w:tcBorders>
              <w:top w:val="nil"/>
              <w:left w:val="nil"/>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四川省机械研究设计院（集团）有限公司</w:t>
            </w:r>
          </w:p>
        </w:tc>
      </w:tr>
      <w:tr>
        <w:tblPrEx>
          <w:tblCellMar>
            <w:top w:w="0" w:type="dxa"/>
            <w:left w:w="0" w:type="dxa"/>
            <w:bottom w:w="0" w:type="dxa"/>
            <w:right w:w="0" w:type="dxa"/>
          </w:tblCellMar>
        </w:tblPrEx>
        <w:trPr>
          <w:trHeight w:val="397" w:hRule="exact"/>
          <w:jc w:val="center"/>
        </w:trPr>
        <w:tc>
          <w:tcPr>
            <w:tcW w:w="111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16</w:t>
            </w:r>
          </w:p>
        </w:tc>
        <w:tc>
          <w:tcPr>
            <w:tcW w:w="7480" w:type="dxa"/>
            <w:tcBorders>
              <w:top w:val="nil"/>
              <w:left w:val="nil"/>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四川省精细化工研究设计院有限公司</w:t>
            </w:r>
          </w:p>
        </w:tc>
      </w:tr>
      <w:tr>
        <w:tblPrEx>
          <w:tblCellMar>
            <w:top w:w="0" w:type="dxa"/>
            <w:left w:w="0" w:type="dxa"/>
            <w:bottom w:w="0" w:type="dxa"/>
            <w:right w:w="0" w:type="dxa"/>
          </w:tblCellMar>
        </w:tblPrEx>
        <w:trPr>
          <w:trHeight w:val="397" w:hRule="exact"/>
          <w:jc w:val="center"/>
        </w:trPr>
        <w:tc>
          <w:tcPr>
            <w:tcW w:w="111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17</w:t>
            </w:r>
          </w:p>
        </w:tc>
        <w:tc>
          <w:tcPr>
            <w:tcW w:w="7480" w:type="dxa"/>
            <w:tcBorders>
              <w:top w:val="nil"/>
              <w:left w:val="nil"/>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四川省食品发酵工业研究设计院有限公司</w:t>
            </w:r>
          </w:p>
        </w:tc>
      </w:tr>
      <w:tr>
        <w:tblPrEx>
          <w:tblCellMar>
            <w:top w:w="0" w:type="dxa"/>
            <w:left w:w="0" w:type="dxa"/>
            <w:bottom w:w="0" w:type="dxa"/>
            <w:right w:w="0" w:type="dxa"/>
          </w:tblCellMar>
        </w:tblPrEx>
        <w:trPr>
          <w:trHeight w:val="397" w:hRule="exact"/>
          <w:jc w:val="center"/>
        </w:trPr>
        <w:tc>
          <w:tcPr>
            <w:tcW w:w="111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18</w:t>
            </w:r>
          </w:p>
        </w:tc>
        <w:tc>
          <w:tcPr>
            <w:tcW w:w="7480" w:type="dxa"/>
            <w:tcBorders>
              <w:top w:val="nil"/>
              <w:left w:val="nil"/>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四川省轻工业研究设计院有限公司</w:t>
            </w:r>
          </w:p>
        </w:tc>
      </w:tr>
      <w:tr>
        <w:tblPrEx>
          <w:tblCellMar>
            <w:top w:w="0" w:type="dxa"/>
            <w:left w:w="0" w:type="dxa"/>
            <w:bottom w:w="0" w:type="dxa"/>
            <w:right w:w="0" w:type="dxa"/>
          </w:tblCellMar>
        </w:tblPrEx>
        <w:trPr>
          <w:trHeight w:val="397" w:hRule="exact"/>
          <w:jc w:val="center"/>
        </w:trPr>
        <w:tc>
          <w:tcPr>
            <w:tcW w:w="1115"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19</w:t>
            </w:r>
          </w:p>
        </w:tc>
        <w:tc>
          <w:tcPr>
            <w:tcW w:w="7480" w:type="dxa"/>
            <w:tcBorders>
              <w:top w:val="nil"/>
              <w:left w:val="nil"/>
              <w:bottom w:val="single" w:color="auto" w:sz="4"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四川省皮革研究所</w:t>
            </w:r>
          </w:p>
        </w:tc>
      </w:tr>
      <w:tr>
        <w:tblPrEx>
          <w:tblCellMar>
            <w:top w:w="0" w:type="dxa"/>
            <w:left w:w="0" w:type="dxa"/>
            <w:bottom w:w="0" w:type="dxa"/>
            <w:right w:w="0" w:type="dxa"/>
          </w:tblCellMar>
        </w:tblPrEx>
        <w:trPr>
          <w:trHeight w:val="397" w:hRule="exact"/>
          <w:jc w:val="center"/>
        </w:trPr>
        <w:tc>
          <w:tcPr>
            <w:tcW w:w="1115" w:type="dxa"/>
            <w:tcBorders>
              <w:top w:val="single" w:color="auto" w:sz="4" w:space="0"/>
              <w:left w:val="single" w:color="auto" w:sz="4" w:space="0"/>
              <w:bottom w:val="single" w:color="auto" w:sz="4"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20</w:t>
            </w:r>
          </w:p>
        </w:tc>
        <w:tc>
          <w:tcPr>
            <w:tcW w:w="7480" w:type="dxa"/>
            <w:tcBorders>
              <w:top w:val="single" w:color="auto" w:sz="4" w:space="0"/>
              <w:left w:val="nil"/>
              <w:bottom w:val="single" w:color="auto" w:sz="4" w:space="0"/>
              <w:right w:val="single" w:color="auto" w:sz="4"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四川省工艺美术研究所</w:t>
            </w:r>
          </w:p>
        </w:tc>
      </w:tr>
      <w:tr>
        <w:tblPrEx>
          <w:tblCellMar>
            <w:top w:w="0" w:type="dxa"/>
            <w:left w:w="0" w:type="dxa"/>
            <w:bottom w:w="0" w:type="dxa"/>
            <w:right w:w="0" w:type="dxa"/>
          </w:tblCellMar>
        </w:tblPrEx>
        <w:trPr>
          <w:trHeight w:val="397" w:hRule="exact"/>
          <w:jc w:val="center"/>
        </w:trPr>
        <w:tc>
          <w:tcPr>
            <w:tcW w:w="1115" w:type="dxa"/>
            <w:tcBorders>
              <w:top w:val="single" w:color="auto" w:sz="4" w:space="0"/>
              <w:left w:val="single" w:color="auto" w:sz="8" w:space="0"/>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21</w:t>
            </w:r>
          </w:p>
        </w:tc>
        <w:tc>
          <w:tcPr>
            <w:tcW w:w="7480"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四川省建材工业科学研究院有限公司</w:t>
            </w:r>
          </w:p>
        </w:tc>
      </w:tr>
      <w:tr>
        <w:tblPrEx>
          <w:tblCellMar>
            <w:top w:w="0" w:type="dxa"/>
            <w:left w:w="0" w:type="dxa"/>
            <w:bottom w:w="0" w:type="dxa"/>
            <w:right w:w="0" w:type="dxa"/>
          </w:tblCellMar>
        </w:tblPrEx>
        <w:trPr>
          <w:trHeight w:val="397" w:hRule="exact"/>
          <w:jc w:val="center"/>
        </w:trPr>
        <w:tc>
          <w:tcPr>
            <w:tcW w:w="1115"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22</w:t>
            </w:r>
          </w:p>
        </w:tc>
        <w:tc>
          <w:tcPr>
            <w:tcW w:w="7480" w:type="dxa"/>
            <w:tcBorders>
              <w:top w:val="nil"/>
              <w:left w:val="nil"/>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四川省建筑科学研究院有限公司</w:t>
            </w:r>
          </w:p>
        </w:tc>
      </w:tr>
      <w:tr>
        <w:tblPrEx>
          <w:tblCellMar>
            <w:top w:w="0" w:type="dxa"/>
            <w:left w:w="0" w:type="dxa"/>
            <w:bottom w:w="0" w:type="dxa"/>
            <w:right w:w="0" w:type="dxa"/>
          </w:tblCellMar>
        </w:tblPrEx>
        <w:trPr>
          <w:trHeight w:val="397" w:hRule="exact"/>
          <w:jc w:val="center"/>
        </w:trPr>
        <w:tc>
          <w:tcPr>
            <w:tcW w:w="1115"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23</w:t>
            </w:r>
          </w:p>
        </w:tc>
        <w:tc>
          <w:tcPr>
            <w:tcW w:w="7480" w:type="dxa"/>
            <w:tcBorders>
              <w:top w:val="nil"/>
              <w:left w:val="nil"/>
              <w:bottom w:val="single" w:color="auto" w:sz="4"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四川省化学工业研究设计院</w:t>
            </w:r>
          </w:p>
        </w:tc>
      </w:tr>
      <w:tr>
        <w:tblPrEx>
          <w:tblCellMar>
            <w:top w:w="0" w:type="dxa"/>
            <w:left w:w="0" w:type="dxa"/>
            <w:bottom w:w="0" w:type="dxa"/>
            <w:right w:w="0" w:type="dxa"/>
          </w:tblCellMar>
        </w:tblPrEx>
        <w:trPr>
          <w:trHeight w:val="397" w:hRule="exact"/>
          <w:jc w:val="center"/>
        </w:trPr>
        <w:tc>
          <w:tcPr>
            <w:tcW w:w="111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24</w:t>
            </w:r>
          </w:p>
        </w:tc>
        <w:tc>
          <w:tcPr>
            <w:tcW w:w="748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四川省酒类科研所</w:t>
            </w:r>
            <w:r>
              <w:rPr>
                <w:rFonts w:hint="default" w:ascii="Times New Roman" w:hAnsi="Times New Roman" w:eastAsia="仿宋_GB2312" w:cs="Times New Roman"/>
                <w:b w:val="0"/>
                <w:bCs w:val="0"/>
                <w:kern w:val="0"/>
                <w:sz w:val="24"/>
                <w:szCs w:val="24"/>
              </w:rPr>
              <w:t>有限公司</w:t>
            </w:r>
          </w:p>
        </w:tc>
      </w:tr>
      <w:tr>
        <w:tblPrEx>
          <w:tblCellMar>
            <w:top w:w="0" w:type="dxa"/>
            <w:left w:w="0" w:type="dxa"/>
            <w:bottom w:w="0" w:type="dxa"/>
            <w:right w:w="0" w:type="dxa"/>
          </w:tblCellMar>
        </w:tblPrEx>
        <w:trPr>
          <w:trHeight w:val="397" w:hRule="exact"/>
          <w:jc w:val="center"/>
        </w:trPr>
        <w:tc>
          <w:tcPr>
            <w:tcW w:w="1115" w:type="dxa"/>
            <w:tcBorders>
              <w:top w:val="single" w:color="auto" w:sz="4" w:space="0"/>
              <w:left w:val="single" w:color="auto" w:sz="8" w:space="0"/>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25</w:t>
            </w:r>
          </w:p>
        </w:tc>
        <w:tc>
          <w:tcPr>
            <w:tcW w:w="7480" w:type="dxa"/>
            <w:tcBorders>
              <w:top w:val="single" w:color="auto" w:sz="4" w:space="0"/>
              <w:left w:val="nil"/>
              <w:bottom w:val="single" w:color="auto" w:sz="8" w:space="0"/>
              <w:right w:val="single" w:color="auto" w:sz="8" w:space="0"/>
            </w:tcBorders>
            <w:tcMar>
              <w:top w:w="0" w:type="dxa"/>
              <w:left w:w="108" w:type="dxa"/>
              <w:bottom w:w="0" w:type="dxa"/>
              <w:right w:w="10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四川省工程科技发展战略研究院（四川省高新技术产业研究院）</w:t>
            </w:r>
          </w:p>
        </w:tc>
      </w:tr>
    </w:tbl>
    <w:p>
      <w:pPr>
        <w:keepNext w:val="0"/>
        <w:keepLines w:val="0"/>
        <w:pageBreakBefore w:val="0"/>
        <w:widowControl/>
        <w:kinsoku/>
        <w:wordWrap/>
        <w:bidi w:val="0"/>
        <w:spacing w:line="560" w:lineRule="exact"/>
        <w:jc w:val="both"/>
        <w:textAlignment w:val="auto"/>
        <w:rPr>
          <w:rFonts w:hint="default" w:ascii="Times New Roman" w:hAnsi="Times New Roman" w:eastAsia="仿宋_GB2312" w:cs="Times New Roman"/>
          <w:szCs w:val="32"/>
        </w:rPr>
        <w:sectPr>
          <w:footerReference r:id="rId3" w:type="default"/>
          <w:pgSz w:w="11906" w:h="16838"/>
          <w:pgMar w:top="2098" w:right="1474" w:bottom="1984" w:left="1588" w:header="851" w:footer="992" w:gutter="0"/>
          <w:pgNumType w:fmt="decimal"/>
          <w:cols w:space="720" w:num="1"/>
          <w:docGrid w:type="linesAndChars" w:linePitch="312" w:charSpace="0"/>
        </w:sectPr>
      </w:pPr>
    </w:p>
    <w:p>
      <w:pPr>
        <w:keepNext w:val="0"/>
        <w:keepLines w:val="0"/>
        <w:pageBreakBefore w:val="0"/>
        <w:widowControl/>
        <w:kinsoku/>
        <w:wordWrap/>
        <w:bidi w:val="0"/>
        <w:spacing w:before="156" w:beforeLines="50" w:after="156" w:afterLines="50" w:line="560" w:lineRule="exact"/>
        <w:jc w:val="both"/>
        <w:textAlignment w:val="auto"/>
        <w:rPr>
          <w:rFonts w:hint="default" w:ascii="Times New Roman" w:hAnsi="Times New Roman" w:eastAsia="黑体" w:cs="Times New Roman"/>
          <w:kern w:val="0"/>
          <w:szCs w:val="32"/>
        </w:rPr>
      </w:pPr>
      <w:r>
        <w:rPr>
          <w:rFonts w:hint="default" w:ascii="Times New Roman" w:hAnsi="Times New Roman" w:eastAsia="黑体" w:cs="Times New Roman"/>
          <w:kern w:val="0"/>
          <w:szCs w:val="32"/>
        </w:rPr>
        <w:t>附</w:t>
      </w:r>
      <w:r>
        <w:rPr>
          <w:rFonts w:hint="default" w:ascii="Times New Roman" w:hAnsi="Times New Roman" w:eastAsia="黑体" w:cs="Times New Roman"/>
          <w:kern w:val="0"/>
          <w:szCs w:val="32"/>
          <w:lang w:eastAsia="zh-CN"/>
        </w:rPr>
        <w:t>表</w:t>
      </w:r>
      <w:r>
        <w:rPr>
          <w:rFonts w:hint="default" w:ascii="Times New Roman" w:hAnsi="Times New Roman" w:eastAsia="黑体" w:cs="Times New Roman"/>
          <w:kern w:val="0"/>
          <w:szCs w:val="32"/>
        </w:rPr>
        <w:t>2</w:t>
      </w:r>
    </w:p>
    <w:p>
      <w:pPr>
        <w:keepNext w:val="0"/>
        <w:keepLines w:val="0"/>
        <w:pageBreakBefore w:val="0"/>
        <w:widowControl/>
        <w:kinsoku/>
        <w:wordWrap/>
        <w:bidi w:val="0"/>
        <w:spacing w:before="156" w:beforeLines="50" w:after="156" w:afterLines="50" w:line="560" w:lineRule="exact"/>
        <w:jc w:val="center"/>
        <w:textAlignment w:val="auto"/>
        <w:rPr>
          <w:rFonts w:hint="default" w:ascii="Times New Roman" w:hAnsi="Times New Roman" w:eastAsia="方正小标宋_GBK" w:cs="Times New Roman"/>
          <w:kern w:val="0"/>
          <w:sz w:val="36"/>
          <w:szCs w:val="36"/>
        </w:rPr>
      </w:pPr>
      <w:r>
        <w:rPr>
          <w:rFonts w:hint="default" w:ascii="Times New Roman" w:hAnsi="Times New Roman" w:eastAsia="方正小标宋_GBK" w:cs="Times New Roman"/>
          <w:kern w:val="0"/>
          <w:sz w:val="36"/>
          <w:szCs w:val="36"/>
        </w:rPr>
        <w:t>省级科研院所基本科研业务费申报单位名单</w:t>
      </w:r>
    </w:p>
    <w:tbl>
      <w:tblPr>
        <w:tblStyle w:val="11"/>
        <w:tblW w:w="9511" w:type="dxa"/>
        <w:jc w:val="center"/>
        <w:tblLayout w:type="autofit"/>
        <w:tblCellMar>
          <w:top w:w="0" w:type="dxa"/>
          <w:left w:w="0" w:type="dxa"/>
          <w:bottom w:w="0" w:type="dxa"/>
          <w:right w:w="0" w:type="dxa"/>
        </w:tblCellMar>
      </w:tblPr>
      <w:tblGrid>
        <w:gridCol w:w="724"/>
        <w:gridCol w:w="3611"/>
        <w:gridCol w:w="777"/>
        <w:gridCol w:w="4399"/>
      </w:tblGrid>
      <w:tr>
        <w:tblPrEx>
          <w:tblCellMar>
            <w:top w:w="0" w:type="dxa"/>
            <w:left w:w="0" w:type="dxa"/>
            <w:bottom w:w="0" w:type="dxa"/>
            <w:right w:w="0" w:type="dxa"/>
          </w:tblCellMar>
        </w:tblPrEx>
        <w:trPr>
          <w:trHeight w:val="340" w:hRule="atLeast"/>
          <w:jc w:val="center"/>
        </w:trPr>
        <w:tc>
          <w:tcPr>
            <w:tcW w:w="724" w:type="dxa"/>
            <w:tcBorders>
              <w:top w:val="single" w:color="auto" w:sz="8" w:space="0"/>
              <w:left w:val="single" w:color="auto" w:sz="8" w:space="0"/>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eastAsia="黑体" w:cs="Times New Roman"/>
                <w:kern w:val="0"/>
                <w:sz w:val="24"/>
                <w:szCs w:val="24"/>
              </w:rPr>
              <w:t>序号</w:t>
            </w:r>
          </w:p>
        </w:tc>
        <w:tc>
          <w:tcPr>
            <w:tcW w:w="3611" w:type="dxa"/>
            <w:tcBorders>
              <w:top w:val="single" w:color="auto" w:sz="8" w:space="0"/>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eastAsia="黑体" w:cs="Times New Roman"/>
                <w:kern w:val="0"/>
                <w:sz w:val="24"/>
                <w:szCs w:val="24"/>
              </w:rPr>
              <w:t>单位名称</w:t>
            </w:r>
          </w:p>
        </w:tc>
        <w:tc>
          <w:tcPr>
            <w:tcW w:w="777" w:type="dxa"/>
            <w:tcBorders>
              <w:top w:val="single" w:color="auto" w:sz="8" w:space="0"/>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eastAsia="黑体" w:cs="Times New Roman"/>
                <w:kern w:val="0"/>
                <w:sz w:val="24"/>
                <w:szCs w:val="24"/>
              </w:rPr>
              <w:t>序号</w:t>
            </w:r>
          </w:p>
        </w:tc>
        <w:tc>
          <w:tcPr>
            <w:tcW w:w="4399" w:type="dxa"/>
            <w:tcBorders>
              <w:top w:val="single" w:color="auto" w:sz="8" w:space="0"/>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eastAsia="黑体" w:cs="Times New Roman"/>
                <w:kern w:val="0"/>
                <w:sz w:val="24"/>
                <w:szCs w:val="24"/>
              </w:rPr>
              <w:t>单位名称</w:t>
            </w:r>
          </w:p>
        </w:tc>
      </w:tr>
      <w:tr>
        <w:tblPrEx>
          <w:tblCellMar>
            <w:top w:w="0" w:type="dxa"/>
            <w:left w:w="0" w:type="dxa"/>
            <w:bottom w:w="0" w:type="dxa"/>
            <w:right w:w="0" w:type="dxa"/>
          </w:tblCellMar>
        </w:tblPrEx>
        <w:trPr>
          <w:trHeight w:val="340" w:hRule="atLeast"/>
          <w:jc w:val="center"/>
        </w:trPr>
        <w:tc>
          <w:tcPr>
            <w:tcW w:w="724" w:type="dxa"/>
            <w:tcBorders>
              <w:top w:val="nil"/>
              <w:left w:val="single" w:color="auto" w:sz="8" w:space="0"/>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1</w:t>
            </w:r>
          </w:p>
        </w:tc>
        <w:tc>
          <w:tcPr>
            <w:tcW w:w="3611"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cs="Times New Roman"/>
                <w:kern w:val="0"/>
                <w:sz w:val="24"/>
                <w:szCs w:val="24"/>
              </w:rPr>
            </w:pPr>
            <w:r>
              <w:rPr>
                <w:rFonts w:hint="default" w:ascii="Times New Roman" w:hAnsi="Times New Roman" w:eastAsia="仿宋_GB2312" w:cs="Times New Roman"/>
                <w:kern w:val="0"/>
                <w:sz w:val="24"/>
                <w:szCs w:val="24"/>
              </w:rPr>
              <w:t>四川省自然资源科学研究院</w:t>
            </w:r>
          </w:p>
        </w:tc>
        <w:tc>
          <w:tcPr>
            <w:tcW w:w="777"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24</w:t>
            </w:r>
          </w:p>
        </w:tc>
        <w:tc>
          <w:tcPr>
            <w:tcW w:w="4399"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四川省国际经济贸易研究所</w:t>
            </w:r>
          </w:p>
        </w:tc>
      </w:tr>
      <w:tr>
        <w:tblPrEx>
          <w:tblCellMar>
            <w:top w:w="0" w:type="dxa"/>
            <w:left w:w="0" w:type="dxa"/>
            <w:bottom w:w="0" w:type="dxa"/>
            <w:right w:w="0" w:type="dxa"/>
          </w:tblCellMar>
        </w:tblPrEx>
        <w:trPr>
          <w:trHeight w:val="340" w:hRule="atLeast"/>
          <w:jc w:val="center"/>
        </w:trPr>
        <w:tc>
          <w:tcPr>
            <w:tcW w:w="724" w:type="dxa"/>
            <w:tcBorders>
              <w:top w:val="nil"/>
              <w:left w:val="single" w:color="auto" w:sz="8" w:space="0"/>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2</w:t>
            </w:r>
          </w:p>
        </w:tc>
        <w:tc>
          <w:tcPr>
            <w:tcW w:w="3611"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cs="Times New Roman"/>
                <w:kern w:val="0"/>
                <w:sz w:val="24"/>
                <w:szCs w:val="24"/>
              </w:rPr>
            </w:pPr>
            <w:r>
              <w:rPr>
                <w:rFonts w:hint="default" w:ascii="Times New Roman" w:hAnsi="Times New Roman" w:eastAsia="仿宋_GB2312" w:cs="Times New Roman"/>
                <w:kern w:val="0"/>
                <w:sz w:val="24"/>
                <w:szCs w:val="24"/>
              </w:rPr>
              <w:t>四川省科学技术信息研究所</w:t>
            </w:r>
          </w:p>
        </w:tc>
        <w:tc>
          <w:tcPr>
            <w:tcW w:w="777"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25</w:t>
            </w:r>
          </w:p>
        </w:tc>
        <w:tc>
          <w:tcPr>
            <w:tcW w:w="4399"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四川省艺术研究院</w:t>
            </w:r>
          </w:p>
        </w:tc>
      </w:tr>
      <w:tr>
        <w:tblPrEx>
          <w:tblCellMar>
            <w:top w:w="0" w:type="dxa"/>
            <w:left w:w="0" w:type="dxa"/>
            <w:bottom w:w="0" w:type="dxa"/>
            <w:right w:w="0" w:type="dxa"/>
          </w:tblCellMar>
        </w:tblPrEx>
        <w:trPr>
          <w:trHeight w:val="340" w:hRule="atLeast"/>
          <w:jc w:val="center"/>
        </w:trPr>
        <w:tc>
          <w:tcPr>
            <w:tcW w:w="724" w:type="dxa"/>
            <w:tcBorders>
              <w:top w:val="nil"/>
              <w:left w:val="single" w:color="auto" w:sz="8" w:space="0"/>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3</w:t>
            </w:r>
          </w:p>
        </w:tc>
        <w:tc>
          <w:tcPr>
            <w:tcW w:w="3611"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cs="Times New Roman"/>
                <w:kern w:val="0"/>
                <w:sz w:val="24"/>
                <w:szCs w:val="24"/>
              </w:rPr>
            </w:pPr>
            <w:r>
              <w:rPr>
                <w:rFonts w:hint="default" w:ascii="Times New Roman" w:hAnsi="Times New Roman" w:eastAsia="仿宋_GB2312" w:cs="Times New Roman"/>
                <w:kern w:val="0"/>
                <w:sz w:val="24"/>
                <w:szCs w:val="24"/>
              </w:rPr>
              <w:t>四川省科学技术发展战略研究院</w:t>
            </w:r>
          </w:p>
        </w:tc>
        <w:tc>
          <w:tcPr>
            <w:tcW w:w="777"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26</w:t>
            </w:r>
          </w:p>
        </w:tc>
        <w:tc>
          <w:tcPr>
            <w:tcW w:w="4399"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四川省文物考古研究院</w:t>
            </w:r>
          </w:p>
        </w:tc>
      </w:tr>
      <w:tr>
        <w:tblPrEx>
          <w:tblCellMar>
            <w:top w:w="0" w:type="dxa"/>
            <w:left w:w="0" w:type="dxa"/>
            <w:bottom w:w="0" w:type="dxa"/>
            <w:right w:w="0" w:type="dxa"/>
          </w:tblCellMar>
        </w:tblPrEx>
        <w:trPr>
          <w:trHeight w:val="340" w:hRule="atLeast"/>
          <w:jc w:val="center"/>
        </w:trPr>
        <w:tc>
          <w:tcPr>
            <w:tcW w:w="724" w:type="dxa"/>
            <w:tcBorders>
              <w:top w:val="nil"/>
              <w:left w:val="single" w:color="auto" w:sz="8" w:space="0"/>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4</w:t>
            </w:r>
          </w:p>
        </w:tc>
        <w:tc>
          <w:tcPr>
            <w:tcW w:w="3611"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cs="Times New Roman"/>
                <w:kern w:val="0"/>
                <w:sz w:val="24"/>
                <w:szCs w:val="24"/>
              </w:rPr>
            </w:pPr>
            <w:r>
              <w:rPr>
                <w:rFonts w:hint="default" w:ascii="Times New Roman" w:hAnsi="Times New Roman" w:eastAsia="仿宋_GB2312" w:cs="Times New Roman"/>
                <w:kern w:val="0"/>
                <w:sz w:val="24"/>
                <w:szCs w:val="24"/>
              </w:rPr>
              <w:t>四川省分析测试服务中心</w:t>
            </w:r>
          </w:p>
        </w:tc>
        <w:tc>
          <w:tcPr>
            <w:tcW w:w="777"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27</w:t>
            </w:r>
          </w:p>
        </w:tc>
        <w:tc>
          <w:tcPr>
            <w:tcW w:w="4399"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四川省医学科学院•四川省人民医院实验动物研究所</w:t>
            </w:r>
          </w:p>
        </w:tc>
      </w:tr>
      <w:tr>
        <w:tblPrEx>
          <w:tblCellMar>
            <w:top w:w="0" w:type="dxa"/>
            <w:left w:w="0" w:type="dxa"/>
            <w:bottom w:w="0" w:type="dxa"/>
            <w:right w:w="0" w:type="dxa"/>
          </w:tblCellMar>
        </w:tblPrEx>
        <w:trPr>
          <w:trHeight w:val="340" w:hRule="atLeast"/>
          <w:jc w:val="center"/>
        </w:trPr>
        <w:tc>
          <w:tcPr>
            <w:tcW w:w="724" w:type="dxa"/>
            <w:tcBorders>
              <w:top w:val="nil"/>
              <w:left w:val="single" w:color="auto" w:sz="8" w:space="0"/>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5</w:t>
            </w:r>
          </w:p>
        </w:tc>
        <w:tc>
          <w:tcPr>
            <w:tcW w:w="3611"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cs="Times New Roman"/>
                <w:kern w:val="0"/>
                <w:sz w:val="24"/>
                <w:szCs w:val="24"/>
              </w:rPr>
            </w:pPr>
            <w:r>
              <w:rPr>
                <w:rFonts w:hint="default" w:ascii="Times New Roman" w:hAnsi="Times New Roman" w:eastAsia="仿宋_GB2312" w:cs="Times New Roman"/>
                <w:kern w:val="0"/>
                <w:sz w:val="24"/>
                <w:szCs w:val="24"/>
              </w:rPr>
              <w:t>四川省科学技术研究成果档案馆</w:t>
            </w:r>
          </w:p>
        </w:tc>
        <w:tc>
          <w:tcPr>
            <w:tcW w:w="777"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28</w:t>
            </w:r>
          </w:p>
        </w:tc>
        <w:tc>
          <w:tcPr>
            <w:tcW w:w="4399"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四川省卫生计生政策和医学情报研究所</w:t>
            </w:r>
          </w:p>
        </w:tc>
      </w:tr>
      <w:tr>
        <w:tblPrEx>
          <w:tblCellMar>
            <w:top w:w="0" w:type="dxa"/>
            <w:left w:w="0" w:type="dxa"/>
            <w:bottom w:w="0" w:type="dxa"/>
            <w:right w:w="0" w:type="dxa"/>
          </w:tblCellMar>
        </w:tblPrEx>
        <w:trPr>
          <w:trHeight w:val="340" w:hRule="atLeast"/>
          <w:jc w:val="center"/>
        </w:trPr>
        <w:tc>
          <w:tcPr>
            <w:tcW w:w="724" w:type="dxa"/>
            <w:tcBorders>
              <w:top w:val="nil"/>
              <w:left w:val="single" w:color="auto" w:sz="8" w:space="0"/>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6</w:t>
            </w:r>
          </w:p>
        </w:tc>
        <w:tc>
          <w:tcPr>
            <w:tcW w:w="3611"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cs="Times New Roman"/>
                <w:kern w:val="0"/>
                <w:sz w:val="24"/>
                <w:szCs w:val="24"/>
              </w:rPr>
            </w:pPr>
            <w:r>
              <w:rPr>
                <w:rFonts w:hint="default" w:ascii="Times New Roman" w:hAnsi="Times New Roman" w:eastAsia="仿宋_GB2312" w:cs="Times New Roman"/>
                <w:kern w:val="0"/>
                <w:sz w:val="24"/>
                <w:szCs w:val="24"/>
              </w:rPr>
              <w:t>四川省农村科技发展中心</w:t>
            </w:r>
          </w:p>
        </w:tc>
        <w:tc>
          <w:tcPr>
            <w:tcW w:w="777"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29</w:t>
            </w:r>
          </w:p>
        </w:tc>
        <w:tc>
          <w:tcPr>
            <w:tcW w:w="4399"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四川省中医药科学院</w:t>
            </w:r>
          </w:p>
        </w:tc>
      </w:tr>
      <w:tr>
        <w:tblPrEx>
          <w:tblCellMar>
            <w:top w:w="0" w:type="dxa"/>
            <w:left w:w="0" w:type="dxa"/>
            <w:bottom w:w="0" w:type="dxa"/>
            <w:right w:w="0" w:type="dxa"/>
          </w:tblCellMar>
        </w:tblPrEx>
        <w:trPr>
          <w:trHeight w:val="340" w:hRule="atLeast"/>
          <w:jc w:val="center"/>
        </w:trPr>
        <w:tc>
          <w:tcPr>
            <w:tcW w:w="724" w:type="dxa"/>
            <w:tcBorders>
              <w:top w:val="nil"/>
              <w:left w:val="single" w:color="auto" w:sz="8" w:space="0"/>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7</w:t>
            </w:r>
          </w:p>
        </w:tc>
        <w:tc>
          <w:tcPr>
            <w:tcW w:w="3611"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cs="Times New Roman"/>
                <w:kern w:val="0"/>
                <w:sz w:val="24"/>
                <w:szCs w:val="24"/>
              </w:rPr>
            </w:pPr>
            <w:r>
              <w:rPr>
                <w:rFonts w:hint="default" w:ascii="Times New Roman" w:hAnsi="Times New Roman" w:eastAsia="仿宋_GB2312" w:cs="Times New Roman"/>
                <w:kern w:val="0"/>
                <w:sz w:val="24"/>
                <w:szCs w:val="24"/>
              </w:rPr>
              <w:t>四川省科技交流中心</w:t>
            </w:r>
          </w:p>
        </w:tc>
        <w:tc>
          <w:tcPr>
            <w:tcW w:w="777"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30</w:t>
            </w:r>
          </w:p>
        </w:tc>
        <w:tc>
          <w:tcPr>
            <w:tcW w:w="4399"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四川省中医药科学院中医研究所</w:t>
            </w:r>
          </w:p>
        </w:tc>
      </w:tr>
      <w:tr>
        <w:tblPrEx>
          <w:tblCellMar>
            <w:top w:w="0" w:type="dxa"/>
            <w:left w:w="0" w:type="dxa"/>
            <w:bottom w:w="0" w:type="dxa"/>
            <w:right w:w="0" w:type="dxa"/>
          </w:tblCellMar>
        </w:tblPrEx>
        <w:trPr>
          <w:trHeight w:val="340" w:hRule="atLeast"/>
          <w:jc w:val="center"/>
        </w:trPr>
        <w:tc>
          <w:tcPr>
            <w:tcW w:w="724" w:type="dxa"/>
            <w:tcBorders>
              <w:top w:val="nil"/>
              <w:left w:val="single" w:color="auto" w:sz="8" w:space="0"/>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8</w:t>
            </w:r>
          </w:p>
        </w:tc>
        <w:tc>
          <w:tcPr>
            <w:tcW w:w="3611"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cs="Times New Roman"/>
                <w:kern w:val="0"/>
                <w:sz w:val="24"/>
                <w:szCs w:val="24"/>
              </w:rPr>
            </w:pPr>
            <w:r>
              <w:rPr>
                <w:rFonts w:hint="default" w:ascii="Times New Roman" w:hAnsi="Times New Roman" w:eastAsia="仿宋_GB2312" w:cs="Times New Roman"/>
                <w:kern w:val="0"/>
                <w:sz w:val="24"/>
                <w:szCs w:val="24"/>
              </w:rPr>
              <w:t>四川省计算机研究院</w:t>
            </w:r>
          </w:p>
        </w:tc>
        <w:tc>
          <w:tcPr>
            <w:tcW w:w="777"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31</w:t>
            </w:r>
          </w:p>
        </w:tc>
        <w:tc>
          <w:tcPr>
            <w:tcW w:w="4399"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四川省标准化研究院</w:t>
            </w:r>
          </w:p>
        </w:tc>
      </w:tr>
      <w:tr>
        <w:tblPrEx>
          <w:tblCellMar>
            <w:top w:w="0" w:type="dxa"/>
            <w:left w:w="0" w:type="dxa"/>
            <w:bottom w:w="0" w:type="dxa"/>
            <w:right w:w="0" w:type="dxa"/>
          </w:tblCellMar>
        </w:tblPrEx>
        <w:trPr>
          <w:trHeight w:val="340" w:hRule="atLeast"/>
          <w:jc w:val="center"/>
        </w:trPr>
        <w:tc>
          <w:tcPr>
            <w:tcW w:w="724" w:type="dxa"/>
            <w:tcBorders>
              <w:top w:val="nil"/>
              <w:left w:val="single" w:color="auto" w:sz="8" w:space="0"/>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9</w:t>
            </w:r>
          </w:p>
        </w:tc>
        <w:tc>
          <w:tcPr>
            <w:tcW w:w="3611"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cs="Times New Roman"/>
                <w:kern w:val="0"/>
                <w:sz w:val="24"/>
                <w:szCs w:val="24"/>
              </w:rPr>
            </w:pPr>
            <w:r>
              <w:rPr>
                <w:rFonts w:hint="default" w:ascii="Times New Roman" w:hAnsi="Times New Roman" w:eastAsia="仿宋_GB2312" w:cs="Times New Roman"/>
                <w:kern w:val="0"/>
                <w:sz w:val="24"/>
                <w:szCs w:val="24"/>
              </w:rPr>
              <w:t>四川省原子能研究院</w:t>
            </w:r>
          </w:p>
        </w:tc>
        <w:tc>
          <w:tcPr>
            <w:tcW w:w="777"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32</w:t>
            </w:r>
          </w:p>
        </w:tc>
        <w:tc>
          <w:tcPr>
            <w:tcW w:w="4399"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四川省农业机械</w:t>
            </w:r>
            <w:r>
              <w:rPr>
                <w:rFonts w:hint="default" w:ascii="Times New Roman" w:hAnsi="Times New Roman" w:eastAsia="仿宋_GB2312" w:cs="Times New Roman"/>
                <w:b w:val="0"/>
                <w:bCs w:val="0"/>
                <w:kern w:val="0"/>
                <w:sz w:val="24"/>
                <w:szCs w:val="24"/>
              </w:rPr>
              <w:t>科学研究院</w:t>
            </w:r>
          </w:p>
        </w:tc>
      </w:tr>
      <w:tr>
        <w:tblPrEx>
          <w:tblCellMar>
            <w:top w:w="0" w:type="dxa"/>
            <w:left w:w="0" w:type="dxa"/>
            <w:bottom w:w="0" w:type="dxa"/>
            <w:right w:w="0" w:type="dxa"/>
          </w:tblCellMar>
        </w:tblPrEx>
        <w:trPr>
          <w:trHeight w:val="340" w:hRule="atLeast"/>
          <w:jc w:val="center"/>
        </w:trPr>
        <w:tc>
          <w:tcPr>
            <w:tcW w:w="724" w:type="dxa"/>
            <w:tcBorders>
              <w:top w:val="nil"/>
              <w:left w:val="single" w:color="auto" w:sz="8" w:space="0"/>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10</w:t>
            </w:r>
          </w:p>
        </w:tc>
        <w:tc>
          <w:tcPr>
            <w:tcW w:w="3611"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cs="Times New Roman"/>
                <w:kern w:val="0"/>
                <w:sz w:val="24"/>
                <w:szCs w:val="24"/>
              </w:rPr>
            </w:pPr>
            <w:r>
              <w:rPr>
                <w:rFonts w:hint="default" w:ascii="Times New Roman" w:hAnsi="Times New Roman" w:eastAsia="仿宋_GB2312" w:cs="Times New Roman"/>
                <w:kern w:val="0"/>
                <w:sz w:val="24"/>
                <w:szCs w:val="24"/>
              </w:rPr>
              <w:t>四川省工业和信息化研究院</w:t>
            </w:r>
          </w:p>
        </w:tc>
        <w:tc>
          <w:tcPr>
            <w:tcW w:w="777"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33</w:t>
            </w:r>
          </w:p>
        </w:tc>
        <w:tc>
          <w:tcPr>
            <w:tcW w:w="4399"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四川省食品药品学校（四川养麝研究所）</w:t>
            </w:r>
          </w:p>
        </w:tc>
      </w:tr>
      <w:tr>
        <w:tblPrEx>
          <w:tblCellMar>
            <w:top w:w="0" w:type="dxa"/>
            <w:left w:w="0" w:type="dxa"/>
            <w:bottom w:w="0" w:type="dxa"/>
            <w:right w:w="0" w:type="dxa"/>
          </w:tblCellMar>
        </w:tblPrEx>
        <w:trPr>
          <w:trHeight w:val="340" w:hRule="atLeast"/>
          <w:jc w:val="center"/>
        </w:trPr>
        <w:tc>
          <w:tcPr>
            <w:tcW w:w="724" w:type="dxa"/>
            <w:tcBorders>
              <w:top w:val="nil"/>
              <w:left w:val="single" w:color="auto" w:sz="8" w:space="0"/>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11</w:t>
            </w:r>
          </w:p>
        </w:tc>
        <w:tc>
          <w:tcPr>
            <w:tcW w:w="3611"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cs="Times New Roman"/>
                <w:kern w:val="0"/>
                <w:sz w:val="24"/>
                <w:szCs w:val="24"/>
              </w:rPr>
            </w:pPr>
            <w:r>
              <w:rPr>
                <w:rFonts w:hint="default" w:ascii="Times New Roman" w:hAnsi="Times New Roman" w:eastAsia="仿宋_GB2312" w:cs="Times New Roman"/>
                <w:b w:val="0"/>
                <w:bCs w:val="0"/>
                <w:kern w:val="0"/>
                <w:sz w:val="24"/>
                <w:szCs w:val="24"/>
              </w:rPr>
              <w:t>四川省农业特色植物研究院</w:t>
            </w:r>
          </w:p>
        </w:tc>
        <w:tc>
          <w:tcPr>
            <w:tcW w:w="777"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34</w:t>
            </w:r>
          </w:p>
        </w:tc>
        <w:tc>
          <w:tcPr>
            <w:tcW w:w="4399"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四川省体育科学研究所</w:t>
            </w:r>
            <w:r>
              <w:rPr>
                <w:rFonts w:hint="default" w:ascii="Times New Roman" w:hAnsi="Times New Roman" w:eastAsia="仿宋_GB2312" w:cs="Times New Roman"/>
                <w:b w:val="0"/>
                <w:bCs w:val="0"/>
                <w:kern w:val="0"/>
                <w:sz w:val="24"/>
                <w:szCs w:val="24"/>
              </w:rPr>
              <w:t>（四川省反兴奋剂中心）</w:t>
            </w:r>
          </w:p>
        </w:tc>
      </w:tr>
      <w:tr>
        <w:tblPrEx>
          <w:tblCellMar>
            <w:top w:w="0" w:type="dxa"/>
            <w:left w:w="0" w:type="dxa"/>
            <w:bottom w:w="0" w:type="dxa"/>
            <w:right w:w="0" w:type="dxa"/>
          </w:tblCellMar>
        </w:tblPrEx>
        <w:trPr>
          <w:trHeight w:val="340" w:hRule="atLeast"/>
          <w:jc w:val="center"/>
        </w:trPr>
        <w:tc>
          <w:tcPr>
            <w:tcW w:w="724" w:type="dxa"/>
            <w:tcBorders>
              <w:top w:val="nil"/>
              <w:left w:val="single" w:color="auto" w:sz="8" w:space="0"/>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12</w:t>
            </w:r>
          </w:p>
        </w:tc>
        <w:tc>
          <w:tcPr>
            <w:tcW w:w="3611"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cs="Times New Roman"/>
                <w:kern w:val="0"/>
                <w:sz w:val="24"/>
                <w:szCs w:val="24"/>
              </w:rPr>
            </w:pPr>
            <w:r>
              <w:rPr>
                <w:rFonts w:hint="default" w:ascii="Times New Roman" w:hAnsi="Times New Roman" w:eastAsia="仿宋_GB2312" w:cs="Times New Roman"/>
                <w:kern w:val="0"/>
                <w:sz w:val="24"/>
                <w:szCs w:val="24"/>
              </w:rPr>
              <w:t>四川省工业环境监测研究院</w:t>
            </w:r>
          </w:p>
        </w:tc>
        <w:tc>
          <w:tcPr>
            <w:tcW w:w="777"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35</w:t>
            </w:r>
          </w:p>
        </w:tc>
        <w:tc>
          <w:tcPr>
            <w:tcW w:w="4399"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四川省草原科学研究院</w:t>
            </w:r>
          </w:p>
        </w:tc>
      </w:tr>
      <w:tr>
        <w:tblPrEx>
          <w:tblCellMar>
            <w:top w:w="0" w:type="dxa"/>
            <w:left w:w="0" w:type="dxa"/>
            <w:bottom w:w="0" w:type="dxa"/>
            <w:right w:w="0" w:type="dxa"/>
          </w:tblCellMar>
        </w:tblPrEx>
        <w:trPr>
          <w:trHeight w:val="340" w:hRule="atLeast"/>
          <w:jc w:val="center"/>
        </w:trPr>
        <w:tc>
          <w:tcPr>
            <w:tcW w:w="724" w:type="dxa"/>
            <w:tcBorders>
              <w:top w:val="nil"/>
              <w:left w:val="single" w:color="auto" w:sz="8" w:space="0"/>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13</w:t>
            </w:r>
          </w:p>
        </w:tc>
        <w:tc>
          <w:tcPr>
            <w:tcW w:w="3611"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cs="Times New Roman"/>
                <w:kern w:val="0"/>
                <w:sz w:val="24"/>
                <w:szCs w:val="24"/>
              </w:rPr>
            </w:pPr>
            <w:r>
              <w:rPr>
                <w:rFonts w:hint="default" w:ascii="Times New Roman" w:hAnsi="Times New Roman" w:eastAsia="仿宋_GB2312" w:cs="Times New Roman"/>
                <w:kern w:val="0"/>
                <w:sz w:val="24"/>
                <w:szCs w:val="24"/>
              </w:rPr>
              <w:t>四川省粮油科研所</w:t>
            </w:r>
          </w:p>
        </w:tc>
        <w:tc>
          <w:tcPr>
            <w:tcW w:w="777"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36</w:t>
            </w:r>
          </w:p>
        </w:tc>
        <w:tc>
          <w:tcPr>
            <w:tcW w:w="4399"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四川省林业科学研究院</w:t>
            </w:r>
          </w:p>
        </w:tc>
      </w:tr>
      <w:tr>
        <w:tblPrEx>
          <w:tblCellMar>
            <w:top w:w="0" w:type="dxa"/>
            <w:left w:w="0" w:type="dxa"/>
            <w:bottom w:w="0" w:type="dxa"/>
            <w:right w:w="0" w:type="dxa"/>
          </w:tblCellMar>
        </w:tblPrEx>
        <w:trPr>
          <w:trHeight w:val="340" w:hRule="atLeast"/>
          <w:jc w:val="center"/>
        </w:trPr>
        <w:tc>
          <w:tcPr>
            <w:tcW w:w="724" w:type="dxa"/>
            <w:tcBorders>
              <w:top w:val="nil"/>
              <w:left w:val="single" w:color="auto" w:sz="8" w:space="0"/>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14</w:t>
            </w:r>
          </w:p>
        </w:tc>
        <w:tc>
          <w:tcPr>
            <w:tcW w:w="3611"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cs="Times New Roman"/>
                <w:kern w:val="0"/>
                <w:sz w:val="24"/>
                <w:szCs w:val="24"/>
              </w:rPr>
            </w:pPr>
            <w:r>
              <w:rPr>
                <w:rFonts w:hint="default" w:ascii="Times New Roman" w:hAnsi="Times New Roman" w:eastAsia="仿宋_GB2312" w:cs="Times New Roman"/>
                <w:b w:val="0"/>
                <w:bCs w:val="0"/>
                <w:kern w:val="0"/>
                <w:sz w:val="24"/>
                <w:szCs w:val="24"/>
              </w:rPr>
              <w:t>四川省经济和社会发展研究院</w:t>
            </w:r>
          </w:p>
        </w:tc>
        <w:tc>
          <w:tcPr>
            <w:tcW w:w="777"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37</w:t>
            </w:r>
          </w:p>
        </w:tc>
        <w:tc>
          <w:tcPr>
            <w:tcW w:w="4399"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b w:val="0"/>
                <w:bCs w:val="0"/>
                <w:kern w:val="0"/>
                <w:sz w:val="24"/>
                <w:szCs w:val="24"/>
              </w:rPr>
            </w:pPr>
            <w:r>
              <w:rPr>
                <w:rFonts w:hint="default" w:ascii="Times New Roman" w:hAnsi="Times New Roman" w:eastAsia="仿宋_GB2312" w:cs="Times New Roman"/>
                <w:b w:val="0"/>
                <w:bCs w:val="0"/>
                <w:color w:val="000000" w:themeColor="text1"/>
                <w:kern w:val="0"/>
                <w:sz w:val="24"/>
                <w:szCs w:val="24"/>
                <w14:textFill>
                  <w14:solidFill>
                    <w14:schemeClr w14:val="tx1"/>
                  </w14:solidFill>
                </w14:textFill>
              </w:rPr>
              <w:t>四川省档案科学技术研究所</w:t>
            </w:r>
          </w:p>
        </w:tc>
      </w:tr>
      <w:tr>
        <w:tblPrEx>
          <w:tblCellMar>
            <w:top w:w="0" w:type="dxa"/>
            <w:left w:w="0" w:type="dxa"/>
            <w:bottom w:w="0" w:type="dxa"/>
            <w:right w:w="0" w:type="dxa"/>
          </w:tblCellMar>
        </w:tblPrEx>
        <w:trPr>
          <w:trHeight w:val="340" w:hRule="atLeast"/>
          <w:jc w:val="center"/>
        </w:trPr>
        <w:tc>
          <w:tcPr>
            <w:tcW w:w="724" w:type="dxa"/>
            <w:tcBorders>
              <w:top w:val="nil"/>
              <w:left w:val="single" w:color="auto" w:sz="8" w:space="0"/>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15</w:t>
            </w:r>
          </w:p>
        </w:tc>
        <w:tc>
          <w:tcPr>
            <w:tcW w:w="3611"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四川省发展与改革研究所</w:t>
            </w:r>
          </w:p>
        </w:tc>
        <w:tc>
          <w:tcPr>
            <w:tcW w:w="777"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38</w:t>
            </w:r>
          </w:p>
        </w:tc>
        <w:tc>
          <w:tcPr>
            <w:tcW w:w="4399"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b w:val="0"/>
                <w:bCs w:val="0"/>
                <w:kern w:val="0"/>
                <w:sz w:val="24"/>
                <w:szCs w:val="24"/>
              </w:rPr>
            </w:pPr>
            <w:r>
              <w:rPr>
                <w:rFonts w:hint="default" w:ascii="Times New Roman" w:hAnsi="Times New Roman" w:eastAsia="仿宋_GB2312" w:cs="Times New Roman"/>
                <w:b w:val="0"/>
                <w:bCs w:val="0"/>
                <w:kern w:val="0"/>
                <w:sz w:val="24"/>
                <w:szCs w:val="24"/>
              </w:rPr>
              <w:t>四川省广播电视科学技术研究所</w:t>
            </w:r>
          </w:p>
        </w:tc>
      </w:tr>
      <w:tr>
        <w:tblPrEx>
          <w:tblCellMar>
            <w:top w:w="0" w:type="dxa"/>
            <w:left w:w="0" w:type="dxa"/>
            <w:bottom w:w="0" w:type="dxa"/>
            <w:right w:w="0" w:type="dxa"/>
          </w:tblCellMar>
        </w:tblPrEx>
        <w:trPr>
          <w:trHeight w:val="340" w:hRule="atLeast"/>
          <w:jc w:val="center"/>
        </w:trPr>
        <w:tc>
          <w:tcPr>
            <w:tcW w:w="724" w:type="dxa"/>
            <w:tcBorders>
              <w:top w:val="nil"/>
              <w:left w:val="single" w:color="auto" w:sz="8" w:space="0"/>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16</w:t>
            </w:r>
          </w:p>
        </w:tc>
        <w:tc>
          <w:tcPr>
            <w:tcW w:w="3611"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四川省成本物价研究所</w:t>
            </w:r>
          </w:p>
        </w:tc>
        <w:tc>
          <w:tcPr>
            <w:tcW w:w="777"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39</w:t>
            </w:r>
          </w:p>
        </w:tc>
        <w:tc>
          <w:tcPr>
            <w:tcW w:w="4399"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四川省广播电视新闻与传播研究所</w:t>
            </w:r>
          </w:p>
        </w:tc>
      </w:tr>
      <w:tr>
        <w:tblPrEx>
          <w:tblCellMar>
            <w:top w:w="0" w:type="dxa"/>
            <w:left w:w="0" w:type="dxa"/>
            <w:bottom w:w="0" w:type="dxa"/>
            <w:right w:w="0" w:type="dxa"/>
          </w:tblCellMar>
        </w:tblPrEx>
        <w:trPr>
          <w:trHeight w:val="340" w:hRule="atLeast"/>
          <w:jc w:val="center"/>
        </w:trPr>
        <w:tc>
          <w:tcPr>
            <w:tcW w:w="724" w:type="dxa"/>
            <w:tcBorders>
              <w:top w:val="nil"/>
              <w:left w:val="single" w:color="auto" w:sz="8" w:space="0"/>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17</w:t>
            </w:r>
          </w:p>
        </w:tc>
        <w:tc>
          <w:tcPr>
            <w:tcW w:w="3611"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四川省民族研究所</w:t>
            </w:r>
          </w:p>
        </w:tc>
        <w:tc>
          <w:tcPr>
            <w:tcW w:w="777"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40</w:t>
            </w:r>
          </w:p>
        </w:tc>
        <w:tc>
          <w:tcPr>
            <w:tcW w:w="4399"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四川省中医药转化医学中心</w:t>
            </w:r>
          </w:p>
        </w:tc>
      </w:tr>
      <w:tr>
        <w:tblPrEx>
          <w:tblCellMar>
            <w:top w:w="0" w:type="dxa"/>
            <w:left w:w="0" w:type="dxa"/>
            <w:bottom w:w="0" w:type="dxa"/>
            <w:right w:w="0" w:type="dxa"/>
          </w:tblCellMar>
        </w:tblPrEx>
        <w:trPr>
          <w:trHeight w:val="340" w:hRule="atLeast"/>
          <w:jc w:val="center"/>
        </w:trPr>
        <w:tc>
          <w:tcPr>
            <w:tcW w:w="724" w:type="dxa"/>
            <w:tcBorders>
              <w:top w:val="nil"/>
              <w:left w:val="single" w:color="auto" w:sz="8" w:space="0"/>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18</w:t>
            </w:r>
          </w:p>
        </w:tc>
        <w:tc>
          <w:tcPr>
            <w:tcW w:w="3611"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四川省人才交流中心</w:t>
            </w:r>
          </w:p>
        </w:tc>
        <w:tc>
          <w:tcPr>
            <w:tcW w:w="777"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41</w:t>
            </w:r>
          </w:p>
        </w:tc>
        <w:tc>
          <w:tcPr>
            <w:tcW w:w="4399"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四川省安全科学技术研究院</w:t>
            </w:r>
          </w:p>
        </w:tc>
      </w:tr>
      <w:tr>
        <w:tblPrEx>
          <w:tblCellMar>
            <w:top w:w="0" w:type="dxa"/>
            <w:left w:w="0" w:type="dxa"/>
            <w:bottom w:w="0" w:type="dxa"/>
            <w:right w:w="0" w:type="dxa"/>
          </w:tblCellMar>
        </w:tblPrEx>
        <w:trPr>
          <w:trHeight w:val="340" w:hRule="atLeast"/>
          <w:jc w:val="center"/>
        </w:trPr>
        <w:tc>
          <w:tcPr>
            <w:tcW w:w="724" w:type="dxa"/>
            <w:tcBorders>
              <w:top w:val="nil"/>
              <w:left w:val="single" w:color="auto" w:sz="8" w:space="0"/>
              <w:bottom w:val="single" w:color="auto" w:sz="4"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b w:val="0"/>
                <w:bCs w:val="0"/>
                <w:kern w:val="0"/>
                <w:sz w:val="24"/>
                <w:szCs w:val="24"/>
              </w:rPr>
            </w:pPr>
            <w:r>
              <w:rPr>
                <w:rFonts w:hint="default" w:ascii="Times New Roman" w:hAnsi="Times New Roman" w:cs="Times New Roman"/>
                <w:b w:val="0"/>
                <w:bCs w:val="0"/>
                <w:kern w:val="0"/>
                <w:sz w:val="24"/>
                <w:szCs w:val="24"/>
              </w:rPr>
              <w:t>19</w:t>
            </w:r>
          </w:p>
        </w:tc>
        <w:tc>
          <w:tcPr>
            <w:tcW w:w="3611" w:type="dxa"/>
            <w:tcBorders>
              <w:top w:val="nil"/>
              <w:left w:val="nil"/>
              <w:bottom w:val="single" w:color="auto" w:sz="4"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b w:val="0"/>
                <w:bCs w:val="0"/>
                <w:kern w:val="0"/>
                <w:sz w:val="24"/>
                <w:szCs w:val="24"/>
              </w:rPr>
            </w:pPr>
            <w:r>
              <w:rPr>
                <w:rFonts w:hint="default" w:ascii="Times New Roman" w:hAnsi="Times New Roman" w:eastAsia="仿宋_GB2312" w:cs="Times New Roman"/>
                <w:b w:val="0"/>
                <w:bCs w:val="0"/>
                <w:kern w:val="0"/>
                <w:sz w:val="24"/>
                <w:szCs w:val="24"/>
              </w:rPr>
              <w:t>四川省国土科学技术研究院（四川省卫星应用技术中心）</w:t>
            </w:r>
          </w:p>
        </w:tc>
        <w:tc>
          <w:tcPr>
            <w:tcW w:w="777" w:type="dxa"/>
            <w:tcBorders>
              <w:top w:val="nil"/>
              <w:left w:val="nil"/>
              <w:bottom w:val="single" w:color="auto" w:sz="4"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42</w:t>
            </w:r>
          </w:p>
        </w:tc>
        <w:tc>
          <w:tcPr>
            <w:tcW w:w="4399" w:type="dxa"/>
            <w:tcBorders>
              <w:top w:val="nil"/>
              <w:left w:val="nil"/>
              <w:bottom w:val="single" w:color="auto" w:sz="4"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cs="Times New Roman"/>
                <w:kern w:val="0"/>
                <w:sz w:val="24"/>
                <w:szCs w:val="24"/>
              </w:rPr>
            </w:pPr>
            <w:r>
              <w:rPr>
                <w:rFonts w:hint="default" w:ascii="Times New Roman" w:hAnsi="Times New Roman" w:eastAsia="仿宋_GB2312" w:cs="Times New Roman"/>
                <w:kern w:val="0"/>
                <w:sz w:val="24"/>
                <w:szCs w:val="24"/>
              </w:rPr>
              <w:t>中国测试技术研究院</w:t>
            </w:r>
          </w:p>
        </w:tc>
      </w:tr>
      <w:tr>
        <w:tblPrEx>
          <w:tblCellMar>
            <w:top w:w="0" w:type="dxa"/>
            <w:left w:w="0" w:type="dxa"/>
            <w:bottom w:w="0" w:type="dxa"/>
            <w:right w:w="0" w:type="dxa"/>
          </w:tblCellMar>
        </w:tblPrEx>
        <w:trPr>
          <w:trHeight w:val="340" w:hRule="atLeast"/>
          <w:jc w:val="center"/>
        </w:trPr>
        <w:tc>
          <w:tcPr>
            <w:tcW w:w="724" w:type="dxa"/>
            <w:tcBorders>
              <w:top w:val="single" w:color="auto" w:sz="4" w:space="0"/>
              <w:left w:val="single" w:color="auto" w:sz="4" w:space="0"/>
              <w:bottom w:val="single" w:color="auto" w:sz="4"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20</w:t>
            </w:r>
          </w:p>
        </w:tc>
        <w:tc>
          <w:tcPr>
            <w:tcW w:w="3611" w:type="dxa"/>
            <w:tcBorders>
              <w:top w:val="single" w:color="auto" w:sz="4" w:space="0"/>
              <w:left w:val="nil"/>
              <w:bottom w:val="single" w:color="auto" w:sz="4"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四川省生态环境科学研究院</w:t>
            </w:r>
          </w:p>
        </w:tc>
        <w:tc>
          <w:tcPr>
            <w:tcW w:w="777" w:type="dxa"/>
            <w:tcBorders>
              <w:top w:val="single" w:color="auto" w:sz="4" w:space="0"/>
              <w:left w:val="nil"/>
              <w:bottom w:val="single" w:color="auto" w:sz="4"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43</w:t>
            </w:r>
          </w:p>
        </w:tc>
        <w:tc>
          <w:tcPr>
            <w:tcW w:w="4399" w:type="dxa"/>
            <w:tcBorders>
              <w:top w:val="single" w:color="auto" w:sz="4" w:space="0"/>
              <w:left w:val="nil"/>
              <w:bottom w:val="single" w:color="auto" w:sz="4" w:space="0"/>
              <w:right w:val="single" w:color="auto" w:sz="4"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cs="Times New Roman"/>
                <w:kern w:val="0"/>
                <w:sz w:val="24"/>
                <w:szCs w:val="24"/>
              </w:rPr>
            </w:pPr>
            <w:r>
              <w:rPr>
                <w:rFonts w:hint="default" w:ascii="Times New Roman" w:hAnsi="Times New Roman" w:eastAsia="仿宋_GB2312" w:cs="Times New Roman"/>
                <w:kern w:val="0"/>
                <w:sz w:val="24"/>
                <w:szCs w:val="24"/>
              </w:rPr>
              <w:t>四川省地质矿产勘查开发局地质矿产科学研究所</w:t>
            </w:r>
          </w:p>
        </w:tc>
      </w:tr>
      <w:tr>
        <w:tblPrEx>
          <w:tblCellMar>
            <w:top w:w="0" w:type="dxa"/>
            <w:left w:w="0" w:type="dxa"/>
            <w:bottom w:w="0" w:type="dxa"/>
            <w:right w:w="0" w:type="dxa"/>
          </w:tblCellMar>
        </w:tblPrEx>
        <w:trPr>
          <w:trHeight w:val="340" w:hRule="atLeast"/>
          <w:jc w:val="center"/>
        </w:trPr>
        <w:tc>
          <w:tcPr>
            <w:tcW w:w="724" w:type="dxa"/>
            <w:tcBorders>
              <w:top w:val="single" w:color="auto" w:sz="4" w:space="0"/>
              <w:left w:val="single" w:color="auto" w:sz="8" w:space="0"/>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21</w:t>
            </w:r>
          </w:p>
        </w:tc>
        <w:tc>
          <w:tcPr>
            <w:tcW w:w="3611" w:type="dxa"/>
            <w:tcBorders>
              <w:top w:val="single" w:color="auto" w:sz="4" w:space="0"/>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四川省环境政策研究与规划院</w:t>
            </w:r>
          </w:p>
        </w:tc>
        <w:tc>
          <w:tcPr>
            <w:tcW w:w="777" w:type="dxa"/>
            <w:tcBorders>
              <w:top w:val="single" w:color="auto" w:sz="4" w:space="0"/>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44</w:t>
            </w:r>
          </w:p>
        </w:tc>
        <w:tc>
          <w:tcPr>
            <w:tcW w:w="4399" w:type="dxa"/>
            <w:tcBorders>
              <w:top w:val="single" w:color="auto" w:sz="4" w:space="0"/>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cs="Times New Roman"/>
                <w:kern w:val="0"/>
                <w:sz w:val="24"/>
                <w:szCs w:val="24"/>
              </w:rPr>
            </w:pPr>
            <w:r>
              <w:rPr>
                <w:rFonts w:hint="default" w:ascii="Times New Roman" w:hAnsi="Times New Roman" w:eastAsia="仿宋_GB2312" w:cs="Times New Roman"/>
                <w:kern w:val="0"/>
                <w:sz w:val="24"/>
                <w:szCs w:val="24"/>
              </w:rPr>
              <w:t>四川省人工晶体研究所</w:t>
            </w:r>
          </w:p>
        </w:tc>
      </w:tr>
      <w:tr>
        <w:tblPrEx>
          <w:tblCellMar>
            <w:top w:w="0" w:type="dxa"/>
            <w:left w:w="0" w:type="dxa"/>
            <w:bottom w:w="0" w:type="dxa"/>
            <w:right w:w="0" w:type="dxa"/>
          </w:tblCellMar>
        </w:tblPrEx>
        <w:trPr>
          <w:trHeight w:val="340" w:hRule="atLeast"/>
          <w:jc w:val="center"/>
        </w:trPr>
        <w:tc>
          <w:tcPr>
            <w:tcW w:w="724" w:type="dxa"/>
            <w:tcBorders>
              <w:top w:val="nil"/>
              <w:left w:val="single" w:color="auto" w:sz="8" w:space="0"/>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22</w:t>
            </w:r>
          </w:p>
        </w:tc>
        <w:tc>
          <w:tcPr>
            <w:tcW w:w="3611"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四川省水利科学研究院</w:t>
            </w:r>
          </w:p>
        </w:tc>
        <w:tc>
          <w:tcPr>
            <w:tcW w:w="777"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45</w:t>
            </w:r>
          </w:p>
        </w:tc>
        <w:tc>
          <w:tcPr>
            <w:tcW w:w="4399"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cs="Times New Roman"/>
                <w:kern w:val="0"/>
                <w:sz w:val="24"/>
                <w:szCs w:val="24"/>
              </w:rPr>
            </w:pPr>
            <w:r>
              <w:rPr>
                <w:rFonts w:hint="default" w:ascii="Times New Roman" w:hAnsi="Times New Roman" w:eastAsia="仿宋_GB2312" w:cs="Times New Roman"/>
                <w:spacing w:val="-8"/>
                <w:kern w:val="0"/>
                <w:sz w:val="24"/>
                <w:szCs w:val="24"/>
              </w:rPr>
              <w:t>四川省交通运输发展战略和规划科学研究院</w:t>
            </w:r>
          </w:p>
        </w:tc>
      </w:tr>
      <w:tr>
        <w:tblPrEx>
          <w:tblCellMar>
            <w:top w:w="0" w:type="dxa"/>
            <w:left w:w="0" w:type="dxa"/>
            <w:bottom w:w="0" w:type="dxa"/>
            <w:right w:w="0" w:type="dxa"/>
          </w:tblCellMar>
        </w:tblPrEx>
        <w:trPr>
          <w:trHeight w:val="340" w:hRule="atLeast"/>
          <w:jc w:val="center"/>
        </w:trPr>
        <w:tc>
          <w:tcPr>
            <w:tcW w:w="724" w:type="dxa"/>
            <w:tcBorders>
              <w:top w:val="nil"/>
              <w:left w:val="single" w:color="auto" w:sz="8" w:space="0"/>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23</w:t>
            </w:r>
          </w:p>
        </w:tc>
        <w:tc>
          <w:tcPr>
            <w:tcW w:w="3611"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eastAsia="仿宋_GB2312" w:cs="Times New Roman"/>
                <w:kern w:val="0"/>
                <w:sz w:val="24"/>
                <w:szCs w:val="24"/>
              </w:rPr>
            </w:pPr>
            <w:r>
              <w:rPr>
                <w:rFonts w:hint="default" w:ascii="Times New Roman" w:hAnsi="Times New Roman" w:eastAsia="仿宋_GB2312" w:cs="Times New Roman"/>
                <w:kern w:val="0"/>
                <w:sz w:val="24"/>
                <w:szCs w:val="24"/>
              </w:rPr>
              <w:t>四川省畜牧科学研究院</w:t>
            </w:r>
          </w:p>
        </w:tc>
        <w:tc>
          <w:tcPr>
            <w:tcW w:w="777"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kern w:val="0"/>
                <w:sz w:val="24"/>
                <w:szCs w:val="24"/>
              </w:rPr>
            </w:pPr>
            <w:r>
              <w:rPr>
                <w:rFonts w:hint="default" w:ascii="Times New Roman" w:hAnsi="Times New Roman" w:cs="Times New Roman"/>
                <w:kern w:val="0"/>
                <w:sz w:val="24"/>
                <w:szCs w:val="24"/>
              </w:rPr>
              <w:t>46</w:t>
            </w:r>
          </w:p>
        </w:tc>
        <w:tc>
          <w:tcPr>
            <w:tcW w:w="4399" w:type="dxa"/>
            <w:tcBorders>
              <w:top w:val="nil"/>
              <w:left w:val="nil"/>
              <w:bottom w:val="single" w:color="auto" w:sz="8" w:space="0"/>
              <w:right w:val="single" w:color="auto" w:sz="8" w:space="0"/>
            </w:tcBorders>
            <w:tcMar>
              <w:top w:w="28" w:type="dxa"/>
              <w:left w:w="28" w:type="dxa"/>
              <w:bottom w:w="28" w:type="dxa"/>
              <w:right w:w="28" w:type="dxa"/>
            </w:tcMar>
            <w:vAlign w:val="center"/>
          </w:tcPr>
          <w:p>
            <w:pPr>
              <w:keepNext w:val="0"/>
              <w:keepLines w:val="0"/>
              <w:pageBreakBefore w:val="0"/>
              <w:widowControl/>
              <w:kinsoku/>
              <w:wordWrap/>
              <w:overflowPunct/>
              <w:topLinePunct w:val="0"/>
              <w:autoSpaceDE/>
              <w:autoSpaceDN/>
              <w:bidi w:val="0"/>
              <w:adjustRightInd/>
              <w:snapToGrid/>
              <w:spacing w:line="320" w:lineRule="exact"/>
              <w:jc w:val="both"/>
              <w:textAlignment w:val="auto"/>
              <w:rPr>
                <w:rFonts w:hint="default" w:ascii="Times New Roman" w:hAnsi="Times New Roman" w:cs="Times New Roman"/>
                <w:kern w:val="0"/>
                <w:sz w:val="24"/>
                <w:szCs w:val="24"/>
              </w:rPr>
            </w:pPr>
            <w:r>
              <w:rPr>
                <w:rFonts w:hint="default" w:ascii="Times New Roman" w:hAnsi="Times New Roman" w:eastAsia="仿宋_GB2312" w:cs="Times New Roman"/>
                <w:spacing w:val="-8"/>
                <w:kern w:val="0"/>
                <w:sz w:val="24"/>
                <w:szCs w:val="24"/>
              </w:rPr>
              <w:t>四川省工程科技发展战略研究院（四川省高新技术产业研究院）</w:t>
            </w:r>
          </w:p>
        </w:tc>
      </w:tr>
    </w:tbl>
    <w:p>
      <w:pPr>
        <w:pStyle w:val="9"/>
        <w:keepNext w:val="0"/>
        <w:keepLines w:val="0"/>
        <w:pageBreakBefore w:val="0"/>
        <w:kinsoku/>
        <w:wordWrap/>
        <w:bidi w:val="0"/>
        <w:spacing w:line="560" w:lineRule="exact"/>
        <w:jc w:val="both"/>
        <w:textAlignment w:val="auto"/>
        <w:rPr>
          <w:rFonts w:hint="default" w:ascii="Times New Roman" w:hAnsi="Times New Roman" w:cs="Times New Roman"/>
          <w:lang w:eastAsia="zh-CN"/>
        </w:rPr>
        <w:sectPr>
          <w:pgSz w:w="11906" w:h="16838"/>
          <w:pgMar w:top="2098" w:right="1474" w:bottom="1984" w:left="1588" w:header="851" w:footer="992" w:gutter="0"/>
          <w:pgNumType w:fmt="decimal"/>
          <w:cols w:space="425" w:num="1"/>
          <w:docGrid w:type="lines" w:linePitch="312" w:charSpace="0"/>
        </w:sectPr>
      </w:pPr>
    </w:p>
    <w:p>
      <w:pPr>
        <w:keepNext w:val="0"/>
        <w:keepLines w:val="0"/>
        <w:pageBreakBefore w:val="0"/>
        <w:kinsoku/>
        <w:wordWrap/>
        <w:bidi w:val="0"/>
        <w:spacing w:line="560" w:lineRule="exact"/>
        <w:ind w:firstLine="640" w:firstLineChars="200"/>
        <w:jc w:val="both"/>
        <w:textAlignment w:val="auto"/>
        <w:rPr>
          <w:rFonts w:hint="default" w:ascii="Times New Roman" w:hAnsi="Times New Roman" w:eastAsia="黑体" w:cs="Times New Roman"/>
          <w:b w:val="0"/>
          <w:bCs w:val="0"/>
          <w:sz w:val="32"/>
          <w:szCs w:val="32"/>
          <w:lang w:eastAsia="zh-CN"/>
        </w:rPr>
      </w:pPr>
      <w:r>
        <w:rPr>
          <w:rFonts w:hint="default" w:ascii="Times New Roman" w:hAnsi="Times New Roman" w:eastAsia="黑体" w:cs="Times New Roman"/>
          <w:b w:val="0"/>
          <w:bCs w:val="0"/>
          <w:sz w:val="32"/>
          <w:szCs w:val="32"/>
          <w:lang w:eastAsia="zh-CN"/>
        </w:rPr>
        <w:t>三、</w:t>
      </w:r>
      <w:r>
        <w:rPr>
          <w:rFonts w:hint="default" w:ascii="Times New Roman" w:hAnsi="Times New Roman" w:eastAsia="黑体" w:cs="Times New Roman"/>
          <w:b w:val="0"/>
          <w:bCs w:val="0"/>
          <w:sz w:val="32"/>
          <w:szCs w:val="32"/>
        </w:rPr>
        <w:t>科</w:t>
      </w:r>
      <w:r>
        <w:rPr>
          <w:rFonts w:hint="default" w:ascii="Times New Roman" w:hAnsi="Times New Roman" w:eastAsia="黑体" w:cs="Times New Roman"/>
          <w:b w:val="0"/>
          <w:bCs w:val="0"/>
          <w:sz w:val="32"/>
          <w:szCs w:val="32"/>
          <w:lang w:eastAsia="zh-CN"/>
        </w:rPr>
        <w:t>普专项</w:t>
      </w:r>
    </w:p>
    <w:p>
      <w:pPr>
        <w:pStyle w:val="9"/>
        <w:keepNext w:val="0"/>
        <w:keepLines w:val="0"/>
        <w:pageBreakBefore w:val="0"/>
        <w:widowControl/>
        <w:kinsoku/>
        <w:wordWrap/>
        <w:overflowPunct/>
        <w:topLinePunct w:val="0"/>
        <w:autoSpaceDE/>
        <w:autoSpaceDN/>
        <w:bidi w:val="0"/>
        <w:adjustRightInd/>
        <w:snapToGrid/>
        <w:spacing w:line="400" w:lineRule="exact"/>
        <w:jc w:val="both"/>
        <w:textAlignment w:val="auto"/>
        <w:rPr>
          <w:rFonts w:hint="default" w:ascii="Times New Roman" w:hAnsi="Times New Roman" w:cs="Times New Roman"/>
          <w:lang w:eastAsia="zh-CN"/>
        </w:rPr>
      </w:pPr>
      <w:r>
        <w:rPr>
          <w:rFonts w:hint="default" w:ascii="Times New Roman" w:hAnsi="Times New Roman" w:eastAsia="楷体_GB2312" w:cs="Times New Roman"/>
          <w:spacing w:val="-6"/>
          <w:sz w:val="30"/>
          <w:szCs w:val="30"/>
        </w:rPr>
        <w:t>（该指南在线填写“四川省科技培训项目申报书”“四川省科普作品创作项目申报书”。指南咨询：</w:t>
      </w:r>
      <w:r>
        <w:rPr>
          <w:rFonts w:hint="default" w:ascii="Times New Roman" w:hAnsi="Times New Roman" w:eastAsia="楷体_GB2312" w:cs="Times New Roman"/>
          <w:spacing w:val="-6"/>
          <w:sz w:val="30"/>
          <w:szCs w:val="30"/>
          <w:lang w:eastAsia="zh-CN"/>
        </w:rPr>
        <w:t>黄文超</w:t>
      </w:r>
      <w:r>
        <w:rPr>
          <w:rFonts w:hint="default" w:ascii="Times New Roman" w:hAnsi="Times New Roman" w:eastAsia="楷体_GB2312" w:cs="Times New Roman"/>
          <w:spacing w:val="-6"/>
          <w:sz w:val="30"/>
          <w:szCs w:val="30"/>
        </w:rPr>
        <w:t xml:space="preserve"> 028-867</w:t>
      </w:r>
      <w:r>
        <w:rPr>
          <w:rFonts w:hint="default" w:ascii="Times New Roman" w:hAnsi="Times New Roman" w:eastAsia="楷体_GB2312" w:cs="Times New Roman"/>
          <w:spacing w:val="-6"/>
          <w:sz w:val="30"/>
          <w:szCs w:val="30"/>
          <w:lang w:val="en-US" w:eastAsia="zh-CN"/>
        </w:rPr>
        <w:t>18520</w:t>
      </w:r>
      <w:r>
        <w:rPr>
          <w:rFonts w:hint="default" w:ascii="Times New Roman" w:hAnsi="Times New Roman" w:eastAsia="楷体_GB2312" w:cs="Times New Roman"/>
          <w:spacing w:val="-6"/>
          <w:sz w:val="30"/>
          <w:szCs w:val="30"/>
        </w:rPr>
        <w:t>）</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黑体" w:cs="Times New Roman"/>
          <w:color w:val="auto"/>
          <w:sz w:val="32"/>
          <w:szCs w:val="32"/>
          <w:u w:val="none"/>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黑体" w:cs="Times New Roman"/>
          <w:color w:val="auto"/>
          <w:sz w:val="32"/>
          <w:szCs w:val="32"/>
          <w:u w:val="none"/>
          <w:lang w:eastAsia="zh-CN"/>
        </w:rPr>
      </w:pPr>
      <w:r>
        <w:rPr>
          <w:rFonts w:hint="default" w:ascii="Times New Roman" w:hAnsi="Times New Roman" w:eastAsia="黑体" w:cs="Times New Roman"/>
          <w:color w:val="auto"/>
          <w:sz w:val="32"/>
          <w:szCs w:val="32"/>
          <w:u w:val="none"/>
          <w:lang w:eastAsia="zh-CN"/>
        </w:rPr>
        <w:t>——总体绩效目标</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val="en-US" w:eastAsia="zh-CN"/>
        </w:rPr>
      </w:pPr>
      <w:r>
        <w:rPr>
          <w:rFonts w:hint="default" w:ascii="Times New Roman" w:hAnsi="Times New Roman" w:eastAsia="仿宋_GB2312" w:cs="Times New Roman"/>
          <w:color w:val="auto"/>
          <w:sz w:val="32"/>
          <w:szCs w:val="32"/>
          <w:u w:val="none"/>
          <w:lang w:eastAsia="zh-CN"/>
        </w:rPr>
        <w:t>开展培训1</w:t>
      </w:r>
      <w:r>
        <w:rPr>
          <w:rFonts w:hint="default" w:ascii="Times New Roman" w:hAnsi="Times New Roman" w:eastAsia="仿宋_GB2312" w:cs="Times New Roman"/>
          <w:color w:val="auto"/>
          <w:sz w:val="32"/>
          <w:szCs w:val="32"/>
          <w:u w:val="none"/>
          <w:lang w:val="en-US" w:eastAsia="zh-CN"/>
        </w:rPr>
        <w:t>8</w:t>
      </w:r>
      <w:r>
        <w:rPr>
          <w:rFonts w:hint="default" w:ascii="Times New Roman" w:hAnsi="Times New Roman" w:eastAsia="仿宋_GB2312" w:cs="Times New Roman"/>
          <w:color w:val="auto"/>
          <w:sz w:val="32"/>
          <w:szCs w:val="32"/>
          <w:u w:val="none"/>
          <w:lang w:eastAsia="zh-CN"/>
        </w:rPr>
        <w:t>0场以上、培训</w:t>
      </w:r>
      <w:r>
        <w:rPr>
          <w:rFonts w:hint="default" w:ascii="Times New Roman" w:hAnsi="Times New Roman" w:eastAsia="仿宋_GB2312" w:cs="Times New Roman"/>
          <w:color w:val="auto"/>
          <w:sz w:val="32"/>
          <w:szCs w:val="32"/>
          <w:u w:val="none"/>
          <w:lang w:val="en-US" w:eastAsia="zh-CN"/>
        </w:rPr>
        <w:t>4</w:t>
      </w:r>
      <w:r>
        <w:rPr>
          <w:rFonts w:hint="default" w:ascii="Times New Roman" w:hAnsi="Times New Roman" w:eastAsia="仿宋_GB2312" w:cs="Times New Roman"/>
          <w:color w:val="auto"/>
          <w:sz w:val="32"/>
          <w:szCs w:val="32"/>
          <w:u w:val="none"/>
          <w:lang w:val="en" w:eastAsia="zh-CN"/>
        </w:rPr>
        <w:t>.</w:t>
      </w:r>
      <w:r>
        <w:rPr>
          <w:rFonts w:hint="default" w:ascii="Times New Roman" w:hAnsi="Times New Roman" w:eastAsia="仿宋_GB2312" w:cs="Times New Roman"/>
          <w:color w:val="auto"/>
          <w:sz w:val="32"/>
          <w:szCs w:val="32"/>
          <w:u w:val="none"/>
          <w:lang w:val="en-US" w:eastAsia="zh-CN"/>
        </w:rPr>
        <w:t>5</w:t>
      </w:r>
      <w:r>
        <w:rPr>
          <w:rFonts w:hint="default" w:ascii="Times New Roman" w:hAnsi="Times New Roman" w:eastAsia="仿宋_GB2312" w:cs="Times New Roman"/>
          <w:color w:val="auto"/>
          <w:sz w:val="32"/>
          <w:szCs w:val="32"/>
          <w:u w:val="none"/>
          <w:lang w:eastAsia="zh-CN"/>
        </w:rPr>
        <w:t>万人次以上；制作科普图书和科普视频40件以上。培养科普人才</w:t>
      </w:r>
      <w:r>
        <w:rPr>
          <w:rFonts w:hint="default" w:ascii="Times New Roman" w:hAnsi="Times New Roman" w:cs="Times New Roman"/>
          <w:color w:val="auto"/>
          <w:sz w:val="32"/>
          <w:szCs w:val="32"/>
          <w:highlight w:val="none"/>
          <w:u w:val="none"/>
          <w:lang w:val="en-US" w:eastAsia="zh-CN"/>
        </w:rPr>
        <w:t>15</w:t>
      </w:r>
      <w:r>
        <w:rPr>
          <w:rFonts w:hint="default" w:ascii="Times New Roman" w:hAnsi="Times New Roman" w:eastAsia="仿宋_GB2312" w:cs="Times New Roman"/>
          <w:color w:val="auto"/>
          <w:sz w:val="32"/>
          <w:szCs w:val="32"/>
          <w:highlight w:val="none"/>
          <w:u w:val="none"/>
          <w:lang w:val="en-US" w:eastAsia="zh-CN"/>
        </w:rPr>
        <w:t>00</w:t>
      </w:r>
      <w:r>
        <w:rPr>
          <w:rFonts w:hint="default" w:ascii="Times New Roman" w:hAnsi="Times New Roman" w:eastAsia="仿宋_GB2312" w:cs="Times New Roman"/>
          <w:color w:val="auto"/>
          <w:sz w:val="32"/>
          <w:szCs w:val="32"/>
          <w:u w:val="none"/>
          <w:lang w:val="en-US" w:eastAsia="zh-CN"/>
        </w:rPr>
        <w:t>名以上。</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黑体" w:cs="Times New Roman"/>
          <w:color w:val="auto"/>
          <w:sz w:val="32"/>
          <w:szCs w:val="32"/>
          <w:u w:val="none"/>
          <w:lang w:eastAsia="zh-CN"/>
        </w:rPr>
      </w:pPr>
      <w:r>
        <w:rPr>
          <w:rFonts w:hint="default" w:ascii="Times New Roman" w:hAnsi="Times New Roman" w:eastAsia="黑体" w:cs="Times New Roman"/>
          <w:color w:val="auto"/>
          <w:sz w:val="32"/>
          <w:szCs w:val="32"/>
          <w:u w:val="none"/>
          <w:lang w:eastAsia="zh-CN"/>
        </w:rPr>
        <w:t>——资金支持方式和支持经费</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highlight w:val="none"/>
          <w:u w:val="none"/>
          <w:lang w:eastAsia="zh-CN"/>
        </w:rPr>
      </w:pPr>
      <w:r>
        <w:rPr>
          <w:rFonts w:hint="default" w:ascii="Times New Roman" w:hAnsi="Times New Roman" w:eastAsia="仿宋_GB2312" w:cs="Times New Roman"/>
          <w:color w:val="auto"/>
          <w:sz w:val="32"/>
          <w:szCs w:val="32"/>
          <w:highlight w:val="none"/>
          <w:u w:val="none"/>
          <w:lang w:eastAsia="zh-CN"/>
        </w:rPr>
        <w:t>科普项目分为科普培训项目和科普作品创作项目两类，均采取前补助的方式给予支持。</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highlight w:val="none"/>
          <w:u w:val="none"/>
          <w:lang w:val="en" w:eastAsia="zh-CN"/>
        </w:rPr>
      </w:pPr>
      <w:r>
        <w:rPr>
          <w:rFonts w:hint="default" w:ascii="Times New Roman" w:hAnsi="Times New Roman" w:eastAsia="仿宋_GB2312" w:cs="Times New Roman"/>
          <w:color w:val="auto"/>
          <w:sz w:val="32"/>
          <w:szCs w:val="32"/>
          <w:highlight w:val="none"/>
          <w:u w:val="none"/>
          <w:lang w:eastAsia="zh-CN"/>
        </w:rPr>
        <w:t>科普培训项目支持经费不超过</w:t>
      </w:r>
      <w:r>
        <w:rPr>
          <w:rFonts w:hint="default" w:ascii="Times New Roman" w:hAnsi="Times New Roman" w:eastAsia="仿宋_GB2312" w:cs="Times New Roman"/>
          <w:color w:val="auto"/>
          <w:sz w:val="32"/>
          <w:szCs w:val="32"/>
          <w:highlight w:val="none"/>
          <w:u w:val="none"/>
          <w:lang w:val="en-US" w:eastAsia="zh-CN"/>
        </w:rPr>
        <w:t>3</w:t>
      </w:r>
      <w:r>
        <w:rPr>
          <w:rFonts w:hint="default" w:ascii="Times New Roman" w:hAnsi="Times New Roman" w:eastAsia="仿宋_GB2312" w:cs="Times New Roman"/>
          <w:color w:val="auto"/>
          <w:sz w:val="32"/>
          <w:szCs w:val="32"/>
          <w:highlight w:val="none"/>
          <w:u w:val="none"/>
          <w:lang w:eastAsia="zh-CN"/>
        </w:rPr>
        <w:t>0万</w:t>
      </w:r>
      <w:r>
        <w:rPr>
          <w:rFonts w:hint="default" w:ascii="Times New Roman" w:hAnsi="Times New Roman" w:eastAsia="仿宋_GB2312" w:cs="Times New Roman"/>
          <w:color w:val="auto"/>
          <w:sz w:val="32"/>
          <w:szCs w:val="32"/>
          <w:highlight w:val="none"/>
          <w:u w:val="none"/>
          <w:lang w:val="en" w:eastAsia="zh-CN"/>
        </w:rPr>
        <w:t>/项。</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highlight w:val="none"/>
          <w:u w:val="none"/>
          <w:lang w:eastAsia="zh-CN"/>
        </w:rPr>
      </w:pPr>
      <w:r>
        <w:rPr>
          <w:rFonts w:hint="default" w:ascii="Times New Roman" w:hAnsi="Times New Roman" w:eastAsia="仿宋_GB2312" w:cs="Times New Roman"/>
          <w:color w:val="auto"/>
          <w:sz w:val="32"/>
          <w:szCs w:val="32"/>
          <w:highlight w:val="none"/>
          <w:u w:val="none"/>
          <w:lang w:eastAsia="zh-CN"/>
        </w:rPr>
        <w:t>科普作品项目支持经费不超过</w:t>
      </w:r>
      <w:r>
        <w:rPr>
          <w:rFonts w:hint="default" w:ascii="Times New Roman" w:hAnsi="Times New Roman" w:eastAsia="仿宋_GB2312" w:cs="Times New Roman"/>
          <w:color w:val="auto"/>
          <w:sz w:val="32"/>
          <w:szCs w:val="32"/>
          <w:highlight w:val="none"/>
          <w:u w:val="none"/>
          <w:lang w:val="en-US" w:eastAsia="zh-CN"/>
        </w:rPr>
        <w:t>20</w:t>
      </w:r>
      <w:r>
        <w:rPr>
          <w:rFonts w:hint="default" w:ascii="Times New Roman" w:hAnsi="Times New Roman" w:eastAsia="仿宋_GB2312" w:cs="Times New Roman"/>
          <w:color w:val="auto"/>
          <w:sz w:val="32"/>
          <w:szCs w:val="32"/>
          <w:highlight w:val="none"/>
          <w:u w:val="none"/>
          <w:lang w:eastAsia="zh-CN"/>
        </w:rPr>
        <w:t>万</w:t>
      </w:r>
      <w:r>
        <w:rPr>
          <w:rFonts w:hint="default" w:ascii="Times New Roman" w:hAnsi="Times New Roman" w:eastAsia="仿宋_GB2312" w:cs="Times New Roman"/>
          <w:color w:val="auto"/>
          <w:sz w:val="32"/>
          <w:szCs w:val="32"/>
          <w:highlight w:val="none"/>
          <w:u w:val="none"/>
          <w:lang w:val="en" w:eastAsia="zh-CN"/>
        </w:rPr>
        <w:t>/项，其中：科普图书创作、翻译</w:t>
      </w:r>
      <w:r>
        <w:rPr>
          <w:rFonts w:hint="default" w:ascii="Times New Roman" w:hAnsi="Times New Roman" w:eastAsia="仿宋_GB2312" w:cs="Times New Roman"/>
          <w:color w:val="auto"/>
          <w:sz w:val="32"/>
          <w:szCs w:val="32"/>
          <w:highlight w:val="none"/>
          <w:u w:val="none"/>
          <w:lang w:eastAsia="zh-CN"/>
        </w:rPr>
        <w:t>支持经费不超过</w:t>
      </w:r>
      <w:r>
        <w:rPr>
          <w:rFonts w:hint="default" w:ascii="Times New Roman" w:hAnsi="Times New Roman" w:eastAsia="仿宋_GB2312" w:cs="Times New Roman"/>
          <w:color w:val="auto"/>
          <w:sz w:val="32"/>
          <w:szCs w:val="32"/>
          <w:highlight w:val="none"/>
          <w:u w:val="none"/>
          <w:lang w:val="en-US" w:eastAsia="zh-CN"/>
        </w:rPr>
        <w:t>20</w:t>
      </w:r>
      <w:r>
        <w:rPr>
          <w:rFonts w:hint="default" w:ascii="Times New Roman" w:hAnsi="Times New Roman" w:eastAsia="仿宋_GB2312" w:cs="Times New Roman"/>
          <w:color w:val="auto"/>
          <w:sz w:val="32"/>
          <w:szCs w:val="32"/>
          <w:highlight w:val="none"/>
          <w:u w:val="none"/>
          <w:lang w:eastAsia="zh-CN"/>
        </w:rPr>
        <w:t>万</w:t>
      </w:r>
      <w:r>
        <w:rPr>
          <w:rFonts w:hint="default" w:ascii="Times New Roman" w:hAnsi="Times New Roman" w:eastAsia="仿宋_GB2312" w:cs="Times New Roman"/>
          <w:color w:val="auto"/>
          <w:sz w:val="32"/>
          <w:szCs w:val="32"/>
          <w:highlight w:val="none"/>
          <w:u w:val="none"/>
          <w:lang w:val="en" w:eastAsia="zh-CN"/>
        </w:rPr>
        <w:t>/项，科普短视频创作、翻译</w:t>
      </w:r>
      <w:r>
        <w:rPr>
          <w:rFonts w:hint="default" w:ascii="Times New Roman" w:hAnsi="Times New Roman" w:eastAsia="仿宋_GB2312" w:cs="Times New Roman"/>
          <w:color w:val="auto"/>
          <w:sz w:val="32"/>
          <w:szCs w:val="32"/>
          <w:highlight w:val="none"/>
          <w:u w:val="none"/>
          <w:lang w:eastAsia="zh-CN"/>
        </w:rPr>
        <w:t>支持经费不超过</w:t>
      </w:r>
      <w:r>
        <w:rPr>
          <w:rFonts w:hint="default" w:ascii="Times New Roman" w:hAnsi="Times New Roman" w:eastAsia="仿宋_GB2312" w:cs="Times New Roman"/>
          <w:color w:val="auto"/>
          <w:sz w:val="32"/>
          <w:szCs w:val="32"/>
          <w:highlight w:val="none"/>
          <w:u w:val="none"/>
          <w:lang w:val="en-US" w:eastAsia="zh-CN"/>
        </w:rPr>
        <w:t>10</w:t>
      </w:r>
      <w:r>
        <w:rPr>
          <w:rFonts w:hint="default" w:ascii="Times New Roman" w:hAnsi="Times New Roman" w:eastAsia="仿宋_GB2312" w:cs="Times New Roman"/>
          <w:color w:val="auto"/>
          <w:sz w:val="32"/>
          <w:szCs w:val="32"/>
          <w:highlight w:val="none"/>
          <w:u w:val="none"/>
          <w:lang w:eastAsia="zh-CN"/>
        </w:rPr>
        <w:t>万</w:t>
      </w:r>
      <w:r>
        <w:rPr>
          <w:rFonts w:hint="default" w:ascii="Times New Roman" w:hAnsi="Times New Roman" w:eastAsia="仿宋_GB2312" w:cs="Times New Roman"/>
          <w:color w:val="auto"/>
          <w:sz w:val="32"/>
          <w:szCs w:val="32"/>
          <w:highlight w:val="none"/>
          <w:u w:val="none"/>
          <w:lang w:val="en" w:eastAsia="zh-CN"/>
        </w:rPr>
        <w:t>/项</w:t>
      </w:r>
      <w:r>
        <w:rPr>
          <w:rFonts w:hint="default" w:ascii="Times New Roman" w:hAnsi="Times New Roman" w:eastAsia="仿宋_GB2312" w:cs="Times New Roman"/>
          <w:color w:val="auto"/>
          <w:sz w:val="32"/>
          <w:szCs w:val="32"/>
          <w:highlight w:val="none"/>
          <w:u w:val="none"/>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黑体" w:cs="Times New Roman"/>
          <w:color w:val="auto"/>
          <w:sz w:val="32"/>
          <w:szCs w:val="32"/>
          <w:u w:val="none"/>
          <w:lang w:eastAsia="zh-CN"/>
        </w:rPr>
      </w:pPr>
      <w:r>
        <w:rPr>
          <w:rFonts w:hint="default" w:ascii="Times New Roman" w:hAnsi="Times New Roman" w:eastAsia="黑体" w:cs="Times New Roman"/>
          <w:color w:val="auto"/>
          <w:sz w:val="32"/>
          <w:szCs w:val="32"/>
          <w:u w:val="none"/>
          <w:lang w:eastAsia="zh-CN"/>
        </w:rPr>
        <w:t>——实施周期</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项目实施周期一般为2年，自202</w:t>
      </w:r>
      <w:r>
        <w:rPr>
          <w:rFonts w:hint="default" w:ascii="Times New Roman" w:hAnsi="Times New Roman" w:eastAsia="仿宋_GB2312" w:cs="Times New Roman"/>
          <w:color w:val="auto"/>
          <w:sz w:val="32"/>
          <w:szCs w:val="32"/>
          <w:u w:val="none"/>
          <w:lang w:val="en-US" w:eastAsia="zh-CN"/>
        </w:rPr>
        <w:t>4</w:t>
      </w:r>
      <w:r>
        <w:rPr>
          <w:rFonts w:hint="default" w:ascii="Times New Roman" w:hAnsi="Times New Roman" w:eastAsia="仿宋_GB2312" w:cs="Times New Roman"/>
          <w:color w:val="auto"/>
          <w:sz w:val="32"/>
          <w:szCs w:val="32"/>
          <w:u w:val="none"/>
          <w:lang w:eastAsia="zh-CN"/>
        </w:rPr>
        <w:t>年1月至202</w:t>
      </w:r>
      <w:r>
        <w:rPr>
          <w:rFonts w:hint="default" w:ascii="Times New Roman" w:hAnsi="Times New Roman" w:eastAsia="仿宋_GB2312" w:cs="Times New Roman"/>
          <w:color w:val="auto"/>
          <w:sz w:val="32"/>
          <w:szCs w:val="32"/>
          <w:u w:val="none"/>
          <w:lang w:val="en-US" w:eastAsia="zh-CN"/>
        </w:rPr>
        <w:t>5</w:t>
      </w:r>
      <w:r>
        <w:rPr>
          <w:rFonts w:hint="default" w:ascii="Times New Roman" w:hAnsi="Times New Roman" w:eastAsia="仿宋_GB2312" w:cs="Times New Roman"/>
          <w:color w:val="auto"/>
          <w:sz w:val="32"/>
          <w:szCs w:val="32"/>
          <w:u w:val="none"/>
          <w:lang w:eastAsia="zh-CN"/>
        </w:rPr>
        <w:t>年12月。</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黑体" w:cs="Times New Roman"/>
          <w:color w:val="auto"/>
          <w:sz w:val="32"/>
          <w:szCs w:val="32"/>
          <w:u w:val="none"/>
          <w:lang w:eastAsia="zh-CN"/>
        </w:rPr>
      </w:pPr>
      <w:r>
        <w:rPr>
          <w:rFonts w:hint="default" w:ascii="Times New Roman" w:hAnsi="Times New Roman" w:eastAsia="黑体" w:cs="Times New Roman"/>
          <w:color w:val="auto"/>
          <w:sz w:val="32"/>
          <w:szCs w:val="32"/>
          <w:u w:val="none"/>
          <w:lang w:eastAsia="zh-CN"/>
        </w:rPr>
        <w:t>——支持重点</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楷体_GB2312" w:cs="Times New Roman"/>
          <w:b w:val="0"/>
          <w:bCs w:val="0"/>
          <w:color w:val="auto"/>
          <w:sz w:val="32"/>
          <w:szCs w:val="32"/>
          <w:u w:val="none"/>
          <w:lang w:eastAsia="zh-CN"/>
        </w:rPr>
      </w:pPr>
      <w:r>
        <w:rPr>
          <w:rFonts w:hint="default" w:ascii="Times New Roman" w:hAnsi="Times New Roman" w:eastAsia="楷体_GB2312" w:cs="Times New Roman"/>
          <w:b w:val="0"/>
          <w:bCs w:val="0"/>
          <w:color w:val="auto"/>
          <w:sz w:val="32"/>
          <w:szCs w:val="32"/>
          <w:u w:val="none"/>
          <w:lang w:eastAsia="zh-CN"/>
        </w:rPr>
        <w:t>（一）科普培训。</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b w:val="0"/>
          <w:bCs w:val="0"/>
          <w:color w:val="auto"/>
          <w:sz w:val="32"/>
          <w:szCs w:val="32"/>
          <w:u w:val="none"/>
          <w:lang w:val="en-US" w:eastAsia="zh-CN"/>
        </w:rPr>
      </w:pPr>
      <w:r>
        <w:rPr>
          <w:rFonts w:hint="default" w:ascii="Times New Roman" w:hAnsi="Times New Roman" w:eastAsia="仿宋_GB2312" w:cs="Times New Roman"/>
          <w:b w:val="0"/>
          <w:bCs w:val="0"/>
          <w:color w:val="auto"/>
          <w:sz w:val="32"/>
          <w:szCs w:val="32"/>
          <w:u w:val="none"/>
          <w:lang w:val="en-US" w:eastAsia="zh-CN"/>
        </w:rPr>
        <w:t>1.“一市一特”科普能力提升</w:t>
      </w:r>
      <w:r>
        <w:rPr>
          <w:rFonts w:hint="default" w:ascii="Times New Roman" w:hAnsi="Times New Roman" w:cs="Times New Roman"/>
          <w:b w:val="0"/>
          <w:bCs w:val="0"/>
          <w:color w:val="auto"/>
          <w:sz w:val="32"/>
          <w:szCs w:val="32"/>
          <w:u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支持方向：区域特色科普能力提升</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rPr>
      </w:pPr>
      <w:r>
        <w:rPr>
          <w:rFonts w:hint="default" w:ascii="Times New Roman" w:hAnsi="Times New Roman" w:eastAsia="仿宋_GB2312" w:cs="Times New Roman"/>
          <w:color w:val="auto"/>
          <w:sz w:val="32"/>
          <w:szCs w:val="32"/>
          <w:u w:val="none"/>
        </w:rPr>
        <w:t>经费额度：每项资助额度</w:t>
      </w:r>
      <w:r>
        <w:rPr>
          <w:rFonts w:hint="default" w:ascii="Times New Roman" w:hAnsi="Times New Roman" w:eastAsia="仿宋_GB2312" w:cs="Times New Roman"/>
          <w:color w:val="auto"/>
          <w:sz w:val="32"/>
          <w:szCs w:val="32"/>
          <w:u w:val="none"/>
          <w:lang w:eastAsia="zh-CN"/>
        </w:rPr>
        <w:t>不超过</w:t>
      </w:r>
      <w:r>
        <w:rPr>
          <w:rFonts w:hint="default" w:ascii="Times New Roman" w:hAnsi="Times New Roman" w:eastAsia="仿宋_GB2312" w:cs="Times New Roman"/>
          <w:color w:val="auto"/>
          <w:sz w:val="32"/>
          <w:szCs w:val="32"/>
          <w:u w:val="none"/>
          <w:lang w:val="en-US" w:eastAsia="zh-CN"/>
        </w:rPr>
        <w:t>30</w:t>
      </w:r>
      <w:r>
        <w:rPr>
          <w:rFonts w:hint="default" w:ascii="Times New Roman" w:hAnsi="Times New Roman" w:eastAsia="仿宋_GB2312" w:cs="Times New Roman"/>
          <w:color w:val="auto"/>
          <w:sz w:val="32"/>
          <w:szCs w:val="32"/>
          <w:u w:val="none"/>
        </w:rPr>
        <w:t>万元。</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申报主体：申报单位须通过所属市级科技部门推荐，每个市可推荐1个项目。</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相关要求：</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highlight w:val="none"/>
          <w:u w:val="none"/>
          <w:lang w:eastAsia="zh-CN"/>
        </w:rPr>
        <w:t>（1）推动市、县级科普工作联席会议制度完善职能，</w:t>
      </w:r>
      <w:r>
        <w:rPr>
          <w:rFonts w:hint="default" w:ascii="Times New Roman" w:hAnsi="Times New Roman" w:eastAsia="仿宋_GB2312" w:cs="Times New Roman"/>
          <w:color w:val="auto"/>
          <w:sz w:val="32"/>
          <w:szCs w:val="32"/>
          <w:u w:val="none"/>
          <w:lang w:eastAsia="zh-CN"/>
        </w:rPr>
        <w:t>对区域内科普资源、科普人才、科普平台进行整体性规划；建立多部门联动机制，促进科普工作融合发展局面。</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eastAsia="zh-CN"/>
        </w:rPr>
        <w:t>（</w:t>
      </w:r>
      <w:r>
        <w:rPr>
          <w:rFonts w:hint="default" w:ascii="Times New Roman" w:hAnsi="Times New Roman" w:eastAsia="仿宋_GB2312" w:cs="Times New Roman"/>
          <w:color w:val="auto"/>
          <w:sz w:val="32"/>
          <w:szCs w:val="32"/>
          <w:highlight w:val="none"/>
          <w:u w:val="none"/>
          <w:lang w:val="en-US" w:eastAsia="zh-CN"/>
        </w:rPr>
        <w:t>2</w:t>
      </w:r>
      <w:r>
        <w:rPr>
          <w:rFonts w:hint="default" w:ascii="Times New Roman" w:hAnsi="Times New Roman" w:eastAsia="仿宋_GB2312" w:cs="Times New Roman"/>
          <w:color w:val="auto"/>
          <w:sz w:val="32"/>
          <w:szCs w:val="32"/>
          <w:highlight w:val="none"/>
          <w:u w:val="none"/>
          <w:lang w:eastAsia="zh-CN"/>
        </w:rPr>
        <w:t>）建立当地科普人才库，完善科普工作标准和评优评价体系，开展科普培训</w:t>
      </w:r>
      <w:r>
        <w:rPr>
          <w:rFonts w:hint="default" w:ascii="Times New Roman" w:hAnsi="Times New Roman" w:eastAsia="仿宋_GB2312" w:cs="Times New Roman"/>
          <w:color w:val="auto"/>
          <w:sz w:val="32"/>
          <w:szCs w:val="32"/>
          <w:highlight w:val="none"/>
          <w:u w:val="none"/>
          <w:lang w:val="en-US" w:eastAsia="zh-CN"/>
        </w:rPr>
        <w:t>5场以上，</w:t>
      </w:r>
      <w:r>
        <w:rPr>
          <w:rFonts w:hint="default" w:ascii="Times New Roman" w:hAnsi="Times New Roman" w:eastAsia="仿宋_GB2312" w:cs="Times New Roman"/>
          <w:color w:val="auto"/>
          <w:sz w:val="32"/>
          <w:szCs w:val="32"/>
          <w:u w:val="none"/>
          <w:lang w:val="en-US" w:eastAsia="zh-CN"/>
        </w:rPr>
        <w:t>培养</w:t>
      </w:r>
      <w:r>
        <w:rPr>
          <w:rFonts w:hint="default" w:ascii="Times New Roman" w:hAnsi="Times New Roman" w:eastAsia="仿宋_GB2312" w:cs="Times New Roman"/>
          <w:color w:val="auto"/>
          <w:sz w:val="32"/>
          <w:szCs w:val="32"/>
          <w:u w:val="none"/>
          <w:lang w:eastAsia="zh-CN"/>
        </w:rPr>
        <w:t>备案</w:t>
      </w:r>
      <w:r>
        <w:rPr>
          <w:rFonts w:hint="default" w:ascii="Times New Roman" w:hAnsi="Times New Roman" w:eastAsia="仿宋_GB2312" w:cs="Times New Roman"/>
          <w:color w:val="auto"/>
          <w:sz w:val="32"/>
          <w:szCs w:val="32"/>
          <w:u w:val="none"/>
          <w:lang w:val="en-US" w:eastAsia="zh-CN"/>
        </w:rPr>
        <w:t>“天府科普使者”40名以上。</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highlight w:val="none"/>
          <w:u w:val="none"/>
          <w:lang w:eastAsia="zh-CN"/>
        </w:rPr>
        <w:t>（</w:t>
      </w:r>
      <w:r>
        <w:rPr>
          <w:rFonts w:hint="default" w:ascii="Times New Roman" w:hAnsi="Times New Roman" w:eastAsia="仿宋_GB2312" w:cs="Times New Roman"/>
          <w:color w:val="auto"/>
          <w:sz w:val="32"/>
          <w:szCs w:val="32"/>
          <w:highlight w:val="none"/>
          <w:u w:val="none"/>
          <w:lang w:val="en-US" w:eastAsia="zh-CN"/>
        </w:rPr>
        <w:t>3</w:t>
      </w:r>
      <w:r>
        <w:rPr>
          <w:rFonts w:hint="default" w:ascii="Times New Roman" w:hAnsi="Times New Roman" w:eastAsia="仿宋_GB2312" w:cs="Times New Roman"/>
          <w:color w:val="auto"/>
          <w:sz w:val="32"/>
          <w:szCs w:val="32"/>
          <w:highlight w:val="none"/>
          <w:u w:val="none"/>
          <w:lang w:eastAsia="zh-CN"/>
        </w:rPr>
        <w:t>）</w:t>
      </w:r>
      <w:r>
        <w:rPr>
          <w:rFonts w:hint="default" w:ascii="Times New Roman" w:hAnsi="Times New Roman" w:eastAsia="仿宋_GB2312" w:cs="Times New Roman"/>
          <w:color w:val="auto"/>
          <w:sz w:val="32"/>
          <w:szCs w:val="32"/>
          <w:u w:val="none"/>
          <w:lang w:eastAsia="zh-CN"/>
        </w:rPr>
        <w:t>推动区域内科普基地发展，建设区域的相关科普基地达标体系，在全省科技活动周、科普活动月期间开展相关活动。</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b/>
          <w:bCs/>
          <w:color w:val="auto"/>
          <w:sz w:val="32"/>
          <w:szCs w:val="32"/>
          <w:u w:val="none"/>
          <w:lang w:val="en-US" w:eastAsia="zh-CN"/>
        </w:rPr>
      </w:pPr>
      <w:r>
        <w:rPr>
          <w:rFonts w:hint="default" w:ascii="Times New Roman" w:hAnsi="Times New Roman" w:eastAsia="仿宋_GB2312" w:cs="Times New Roman"/>
          <w:color w:val="auto"/>
          <w:sz w:val="32"/>
          <w:szCs w:val="32"/>
          <w:highlight w:val="none"/>
          <w:u w:val="none"/>
          <w:lang w:eastAsia="zh-CN"/>
        </w:rPr>
        <w:t>（</w:t>
      </w:r>
      <w:r>
        <w:rPr>
          <w:rFonts w:hint="default" w:ascii="Times New Roman" w:hAnsi="Times New Roman" w:eastAsia="仿宋_GB2312" w:cs="Times New Roman"/>
          <w:color w:val="auto"/>
          <w:sz w:val="32"/>
          <w:szCs w:val="32"/>
          <w:highlight w:val="none"/>
          <w:u w:val="none"/>
          <w:lang w:val="en-US" w:eastAsia="zh-CN"/>
        </w:rPr>
        <w:t>4</w:t>
      </w:r>
      <w:r>
        <w:rPr>
          <w:rFonts w:hint="default" w:ascii="Times New Roman" w:hAnsi="Times New Roman" w:eastAsia="仿宋_GB2312" w:cs="Times New Roman"/>
          <w:color w:val="auto"/>
          <w:sz w:val="32"/>
          <w:szCs w:val="32"/>
          <w:highlight w:val="none"/>
          <w:u w:val="none"/>
          <w:lang w:eastAsia="zh-CN"/>
        </w:rPr>
        <w:t>）</w:t>
      </w:r>
      <w:r>
        <w:rPr>
          <w:rFonts w:hint="default" w:ascii="Times New Roman" w:hAnsi="Times New Roman" w:eastAsia="仿宋_GB2312" w:cs="Times New Roman"/>
          <w:color w:val="auto"/>
          <w:sz w:val="32"/>
          <w:szCs w:val="32"/>
          <w:u w:val="none"/>
          <w:lang w:val="en-US" w:eastAsia="zh-CN"/>
        </w:rPr>
        <w:t>开展大型科普活动2场以上。</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b w:val="0"/>
          <w:bCs w:val="0"/>
          <w:color w:val="auto"/>
          <w:sz w:val="32"/>
          <w:szCs w:val="32"/>
          <w:u w:val="none"/>
          <w:lang w:val="en-US" w:eastAsia="zh-CN"/>
        </w:rPr>
      </w:pPr>
      <w:r>
        <w:rPr>
          <w:rFonts w:hint="default" w:ascii="Times New Roman" w:hAnsi="Times New Roman" w:eastAsia="仿宋_GB2312" w:cs="Times New Roman"/>
          <w:b w:val="0"/>
          <w:bCs w:val="0"/>
          <w:color w:val="auto"/>
          <w:sz w:val="32"/>
          <w:szCs w:val="32"/>
          <w:u w:val="none"/>
          <w:lang w:val="en-US" w:eastAsia="zh-CN"/>
        </w:rPr>
        <w:t>2.科普能力提升</w:t>
      </w:r>
      <w:r>
        <w:rPr>
          <w:rFonts w:hint="default" w:ascii="Times New Roman" w:hAnsi="Times New Roman" w:cs="Times New Roman"/>
          <w:b w:val="0"/>
          <w:bCs w:val="0"/>
          <w:color w:val="auto"/>
          <w:sz w:val="32"/>
          <w:szCs w:val="32"/>
          <w:u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支持方向：支持面向青少年、劳动者、老年人等重点人群开展科普培训；支持企业、科研院所和高等院校等产学研机构聚焦科普人才培养、致富技能、防灾减灾等开展科普培训。</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b/>
          <w:bCs/>
          <w:color w:val="auto"/>
          <w:sz w:val="32"/>
          <w:szCs w:val="32"/>
          <w:highlight w:val="none"/>
          <w:u w:val="none"/>
          <w:lang w:eastAsia="zh-CN"/>
        </w:rPr>
      </w:pPr>
      <w:r>
        <w:rPr>
          <w:rFonts w:hint="default" w:ascii="Times New Roman" w:hAnsi="Times New Roman" w:eastAsia="仿宋_GB2312" w:cs="Times New Roman"/>
          <w:color w:val="auto"/>
          <w:sz w:val="32"/>
          <w:szCs w:val="32"/>
          <w:u w:val="none"/>
        </w:rPr>
        <w:t>经费额度：每项资助额度</w:t>
      </w:r>
      <w:r>
        <w:rPr>
          <w:rFonts w:hint="default" w:ascii="Times New Roman" w:hAnsi="Times New Roman" w:eastAsia="仿宋_GB2312" w:cs="Times New Roman"/>
          <w:color w:val="auto"/>
          <w:sz w:val="32"/>
          <w:szCs w:val="32"/>
          <w:u w:val="none"/>
          <w:lang w:eastAsia="zh-CN"/>
        </w:rPr>
        <w:t>不超过</w:t>
      </w:r>
      <w:r>
        <w:rPr>
          <w:rFonts w:hint="default" w:ascii="Times New Roman" w:hAnsi="Times New Roman" w:eastAsia="仿宋_GB2312" w:cs="Times New Roman"/>
          <w:color w:val="auto"/>
          <w:sz w:val="32"/>
          <w:szCs w:val="32"/>
          <w:u w:val="none"/>
          <w:lang w:val="en-US" w:eastAsia="zh-CN"/>
        </w:rPr>
        <w:t>20</w:t>
      </w:r>
      <w:r>
        <w:rPr>
          <w:rFonts w:hint="default" w:ascii="Times New Roman" w:hAnsi="Times New Roman" w:eastAsia="仿宋_GB2312" w:cs="Times New Roman"/>
          <w:color w:val="auto"/>
          <w:sz w:val="32"/>
          <w:szCs w:val="32"/>
          <w:u w:val="none"/>
        </w:rPr>
        <w:t>万元。</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jc w:val="both"/>
        <w:textAlignment w:val="auto"/>
        <w:rPr>
          <w:rFonts w:hint="default" w:ascii="Times New Roman" w:hAnsi="Times New Roman" w:eastAsia="仿宋_GB2312" w:cs="Times New Roman"/>
          <w:b/>
          <w:bCs/>
          <w:color w:val="auto"/>
          <w:sz w:val="32"/>
          <w:szCs w:val="32"/>
          <w:highlight w:val="none"/>
          <w:u w:val="none"/>
          <w:lang w:eastAsia="zh-CN"/>
        </w:rPr>
      </w:pPr>
      <w:r>
        <w:rPr>
          <w:rFonts w:hint="default" w:ascii="Times New Roman" w:hAnsi="Times New Roman" w:eastAsia="仿宋_GB2312" w:cs="Times New Roman"/>
          <w:b/>
          <w:bCs/>
          <w:color w:val="auto"/>
          <w:sz w:val="32"/>
          <w:szCs w:val="32"/>
          <w:highlight w:val="none"/>
          <w:u w:val="none"/>
          <w:lang w:eastAsia="zh-CN"/>
        </w:rPr>
        <w:t>相关要求：</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highlight w:val="none"/>
          <w:u w:val="none"/>
          <w:lang w:eastAsia="zh-CN"/>
        </w:rPr>
        <w:t>（1）</w:t>
      </w:r>
      <w:r>
        <w:rPr>
          <w:rFonts w:hint="default" w:ascii="Times New Roman" w:hAnsi="Times New Roman" w:eastAsia="仿宋_GB2312" w:cs="Times New Roman"/>
          <w:color w:val="auto"/>
          <w:sz w:val="32"/>
          <w:szCs w:val="32"/>
          <w:u w:val="none"/>
          <w:lang w:eastAsia="zh-CN"/>
        </w:rPr>
        <w:t>依托省、市（州）、县（区）相关机构，高校、科研院所、企业、医疗卫生机构、行业协会等，围绕科普人才培养、致富技能、防灾减灾等，面向公众开展科普培训活动。鼓励面向阿坝州、甘孜州、凉山州木里县科普工作实际需求，采用汉藏双语的培训教材。</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（2）须具备完整的项目计划书和实施方案（包含培训教材、相应的科普资料、具体实施计划等），举办培训活动不少于4次，培训人数累计不低于</w:t>
      </w:r>
      <w:r>
        <w:rPr>
          <w:rFonts w:hint="default" w:ascii="Times New Roman" w:hAnsi="Times New Roman" w:eastAsia="仿宋_GB2312" w:cs="Times New Roman"/>
          <w:color w:val="auto"/>
          <w:sz w:val="32"/>
          <w:szCs w:val="32"/>
          <w:u w:val="none"/>
          <w:lang w:val="en-US" w:eastAsia="zh-CN"/>
        </w:rPr>
        <w:t>10</w:t>
      </w:r>
      <w:r>
        <w:rPr>
          <w:rFonts w:hint="default" w:ascii="Times New Roman" w:hAnsi="Times New Roman" w:eastAsia="仿宋_GB2312" w:cs="Times New Roman"/>
          <w:color w:val="auto"/>
          <w:sz w:val="32"/>
          <w:szCs w:val="32"/>
          <w:u w:val="none"/>
          <w:lang w:eastAsia="zh-CN"/>
        </w:rPr>
        <w:t>00人次。</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w:t>
      </w:r>
      <w:r>
        <w:rPr>
          <w:rFonts w:hint="default" w:ascii="Times New Roman" w:hAnsi="Times New Roman" w:eastAsia="仿宋_GB2312" w:cs="Times New Roman"/>
          <w:color w:val="auto"/>
          <w:sz w:val="32"/>
          <w:szCs w:val="32"/>
          <w:u w:val="none"/>
          <w:lang w:val="en-US" w:eastAsia="zh-CN"/>
        </w:rPr>
        <w:t>3</w:t>
      </w:r>
      <w:r>
        <w:rPr>
          <w:rFonts w:hint="default" w:ascii="Times New Roman" w:hAnsi="Times New Roman" w:eastAsia="仿宋_GB2312" w:cs="Times New Roman"/>
          <w:color w:val="auto"/>
          <w:sz w:val="32"/>
          <w:szCs w:val="32"/>
          <w:u w:val="none"/>
          <w:lang w:eastAsia="zh-CN"/>
        </w:rPr>
        <w:t>）积极参与“四川省科普活动月”“四川省科技活动周”等活动，培养“天府科普使者”</w:t>
      </w:r>
      <w:r>
        <w:rPr>
          <w:rFonts w:hint="default" w:ascii="Times New Roman" w:hAnsi="Times New Roman" w:eastAsia="仿宋_GB2312" w:cs="Times New Roman"/>
          <w:color w:val="auto"/>
          <w:sz w:val="32"/>
          <w:szCs w:val="32"/>
          <w:u w:val="none"/>
          <w:lang w:val="en-US" w:eastAsia="zh-CN"/>
        </w:rPr>
        <w:t>20</w:t>
      </w:r>
      <w:r>
        <w:rPr>
          <w:rFonts w:hint="default" w:ascii="Times New Roman" w:hAnsi="Times New Roman" w:eastAsia="仿宋_GB2312" w:cs="Times New Roman"/>
          <w:color w:val="auto"/>
          <w:sz w:val="32"/>
          <w:szCs w:val="32"/>
          <w:u w:val="none"/>
          <w:lang w:eastAsia="zh-CN"/>
        </w:rPr>
        <w:t>名以上。</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（4）鼓励录制培训视频，并通过官方网站、官方APP等网络进行共享。</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楷体_GB2312" w:cs="Times New Roman"/>
          <w:b w:val="0"/>
          <w:bCs w:val="0"/>
          <w:color w:val="auto"/>
          <w:sz w:val="32"/>
          <w:szCs w:val="32"/>
          <w:u w:val="none"/>
          <w:lang w:eastAsia="zh-CN"/>
        </w:rPr>
      </w:pPr>
      <w:r>
        <w:rPr>
          <w:rFonts w:hint="default" w:ascii="Times New Roman" w:hAnsi="Times New Roman" w:eastAsia="楷体_GB2312" w:cs="Times New Roman"/>
          <w:b w:val="0"/>
          <w:bCs w:val="0"/>
          <w:color w:val="auto"/>
          <w:sz w:val="32"/>
          <w:szCs w:val="32"/>
          <w:u w:val="none"/>
          <w:lang w:eastAsia="zh-CN"/>
        </w:rPr>
        <w:t>（二）科普作品。</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重点支持科普图书、短视频创作，满足新时代公众科普需求。</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b w:val="0"/>
          <w:bCs w:val="0"/>
          <w:color w:val="auto"/>
          <w:sz w:val="32"/>
          <w:szCs w:val="32"/>
          <w:u w:val="none"/>
          <w:lang w:eastAsia="zh-CN"/>
        </w:rPr>
      </w:pPr>
      <w:r>
        <w:rPr>
          <w:rFonts w:hint="default" w:ascii="Times New Roman" w:hAnsi="Times New Roman" w:eastAsia="仿宋_GB2312" w:cs="Times New Roman"/>
          <w:b w:val="0"/>
          <w:bCs w:val="0"/>
          <w:color w:val="auto"/>
          <w:sz w:val="32"/>
          <w:szCs w:val="32"/>
          <w:u w:val="none"/>
          <w:lang w:eastAsia="zh-CN"/>
        </w:rPr>
        <w:t>1．科普图书创作</w:t>
      </w:r>
      <w:r>
        <w:rPr>
          <w:rFonts w:hint="default" w:ascii="Times New Roman" w:hAnsi="Times New Roman" w:cs="Times New Roman"/>
          <w:b w:val="0"/>
          <w:bCs w:val="0"/>
          <w:color w:val="auto"/>
          <w:sz w:val="32"/>
          <w:szCs w:val="32"/>
          <w:u w:val="none"/>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b w:val="0"/>
          <w:bCs w:val="0"/>
          <w:color w:val="auto"/>
          <w:sz w:val="32"/>
          <w:szCs w:val="32"/>
          <w:u w:val="none"/>
          <w:lang w:eastAsia="zh-CN"/>
        </w:rPr>
      </w:pPr>
      <w:r>
        <w:rPr>
          <w:rFonts w:hint="default" w:ascii="Times New Roman" w:hAnsi="Times New Roman" w:eastAsia="仿宋_GB2312" w:cs="Times New Roman"/>
          <w:b w:val="0"/>
          <w:bCs w:val="0"/>
          <w:color w:val="auto"/>
          <w:sz w:val="32"/>
          <w:szCs w:val="32"/>
          <w:u w:val="none"/>
          <w:lang w:eastAsia="zh-CN"/>
        </w:rPr>
        <w:t>相关要求：</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（1）作品应具备普及科学技术知识、倡导科学方法、传播科学思想、弘扬科学精神的内涵；具有较强的科学性、知识性、趣味性、可读性，内容丰富、形式活泼、通俗易懂、图文并茂。</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（2）作者应承诺作品的原创性，保证拥有作品的自主知识产权，不存在知识产权争议。</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（3）应提供作品的内容介绍（不少于800字）及能反映作品内容特色的部分样章。</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（4）作品应计划于202</w:t>
      </w:r>
      <w:r>
        <w:rPr>
          <w:rFonts w:hint="default" w:ascii="Times New Roman" w:hAnsi="Times New Roman" w:eastAsia="仿宋_GB2312" w:cs="Times New Roman"/>
          <w:color w:val="auto"/>
          <w:sz w:val="32"/>
          <w:szCs w:val="32"/>
          <w:u w:val="none"/>
          <w:lang w:val="en-US" w:eastAsia="zh-CN"/>
        </w:rPr>
        <w:t>5</w:t>
      </w:r>
      <w:r>
        <w:rPr>
          <w:rFonts w:hint="default" w:ascii="Times New Roman" w:hAnsi="Times New Roman" w:eastAsia="仿宋_GB2312" w:cs="Times New Roman"/>
          <w:color w:val="auto"/>
          <w:sz w:val="32"/>
          <w:szCs w:val="32"/>
          <w:u w:val="none"/>
          <w:lang w:eastAsia="zh-CN"/>
        </w:rPr>
        <w:t>年底前由国家出版社正式出版，有正式出版合同。</w:t>
      </w:r>
    </w:p>
    <w:p>
      <w:pPr>
        <w:pStyle w:val="10"/>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w:t>
      </w:r>
      <w:r>
        <w:rPr>
          <w:rFonts w:hint="default" w:ascii="Times New Roman" w:hAnsi="Times New Roman" w:eastAsia="仿宋_GB2312" w:cs="Times New Roman"/>
          <w:color w:val="auto"/>
          <w:sz w:val="32"/>
          <w:szCs w:val="32"/>
          <w:u w:val="none"/>
          <w:lang w:val="en-US" w:eastAsia="zh-CN"/>
        </w:rPr>
        <w:t>5</w:t>
      </w:r>
      <w:r>
        <w:rPr>
          <w:rFonts w:hint="default" w:ascii="Times New Roman" w:hAnsi="Times New Roman" w:eastAsia="仿宋_GB2312" w:cs="Times New Roman"/>
          <w:color w:val="auto"/>
          <w:sz w:val="32"/>
          <w:szCs w:val="32"/>
          <w:u w:val="none"/>
          <w:lang w:eastAsia="zh-CN"/>
        </w:rPr>
        <w:t>）</w:t>
      </w:r>
      <w:r>
        <w:rPr>
          <w:rFonts w:hint="default" w:ascii="Times New Roman" w:hAnsi="Times New Roman" w:eastAsia="仿宋_GB2312" w:cs="Times New Roman"/>
          <w:b w:val="0"/>
          <w:bCs w:val="0"/>
          <w:color w:val="auto"/>
          <w:sz w:val="32"/>
          <w:szCs w:val="32"/>
          <w:u w:val="none"/>
          <w:lang w:eastAsia="zh-CN"/>
        </w:rPr>
        <w:t>作品完成后需参加四川省优秀科普作品、优秀科普微视频评选活动。</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b w:val="0"/>
          <w:bCs w:val="0"/>
          <w:color w:val="auto"/>
          <w:sz w:val="32"/>
          <w:szCs w:val="32"/>
          <w:u w:val="none"/>
          <w:lang w:eastAsia="zh-CN"/>
        </w:rPr>
      </w:pPr>
      <w:r>
        <w:rPr>
          <w:rFonts w:hint="default" w:ascii="Times New Roman" w:hAnsi="Times New Roman" w:eastAsia="仿宋_GB2312" w:cs="Times New Roman"/>
          <w:b w:val="0"/>
          <w:bCs w:val="0"/>
          <w:color w:val="auto"/>
          <w:sz w:val="32"/>
          <w:szCs w:val="32"/>
          <w:u w:val="none"/>
          <w:lang w:eastAsia="zh-CN"/>
        </w:rPr>
        <w:t>2. 科普短视频创作</w:t>
      </w:r>
      <w:r>
        <w:rPr>
          <w:rFonts w:hint="default" w:ascii="Times New Roman" w:hAnsi="Times New Roman" w:cs="Times New Roman"/>
          <w:b w:val="0"/>
          <w:bCs w:val="0"/>
          <w:color w:val="auto"/>
          <w:sz w:val="32"/>
          <w:szCs w:val="32"/>
          <w:u w:val="none"/>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科普短视频可包括纪录短片、微动画、微动漫、微电影等形式。</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相关要求：</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（1）作品内容须围绕普及科学知识、倡导科学方法、传播科学思想、弘扬科学精神，相关知识点需具备可信任科学来源；</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（2）作品应采取通俗易懂、生动有趣、制作精良的艺术表现形式，具备完整艺术构思并完成脚本和试制样片，叙事逻辑清晰，有助于启发和提高公众对科学的兴趣，便于公众理解、接受科学知识；</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（3）科普微电影等单体视频类作品，分辨率不低于1080P，一般单个电影时长5-15分钟；</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（4）系列短视频类作品，分辨率不低于1080P，单个视频时长不低于3分钟，每个项目拍摄视频不少于5集。</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（5）申报作品须原创，应提供原始拍摄素材、矢量图、三维建模文件、时间线工程文件等原始证明材料，引用内容无版权风险；</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w:t>
      </w:r>
      <w:r>
        <w:rPr>
          <w:rFonts w:hint="default" w:ascii="Times New Roman" w:hAnsi="Times New Roman" w:eastAsia="仿宋_GB2312" w:cs="Times New Roman"/>
          <w:color w:val="auto"/>
          <w:sz w:val="32"/>
          <w:szCs w:val="32"/>
          <w:u w:val="none"/>
          <w:lang w:val="en-US" w:eastAsia="zh-CN"/>
        </w:rPr>
        <w:t>6</w:t>
      </w:r>
      <w:r>
        <w:rPr>
          <w:rFonts w:hint="default" w:ascii="Times New Roman" w:hAnsi="Times New Roman" w:eastAsia="仿宋_GB2312" w:cs="Times New Roman"/>
          <w:color w:val="auto"/>
          <w:sz w:val="32"/>
          <w:szCs w:val="32"/>
          <w:u w:val="none"/>
          <w:lang w:eastAsia="zh-CN"/>
        </w:rPr>
        <w:t>）申报作品完成后应通过国内权威媒体、官方APP、头条号、百家号、微博号、微信公众号等认证帐号发布，最终实现单体视频类作品累积播放量不低于5万次，系列短视频类作品累积播放量不低于20万次。</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cs="Times New Roman"/>
          <w:color w:val="auto"/>
          <w:u w:val="none"/>
          <w:lang w:eastAsia="zh-CN"/>
        </w:rPr>
      </w:pPr>
      <w:r>
        <w:rPr>
          <w:rFonts w:hint="default" w:ascii="Times New Roman" w:hAnsi="Times New Roman" w:eastAsia="仿宋_GB2312" w:cs="Times New Roman"/>
          <w:color w:val="auto"/>
          <w:sz w:val="32"/>
          <w:szCs w:val="32"/>
          <w:u w:val="none"/>
          <w:lang w:eastAsia="zh-CN"/>
        </w:rPr>
        <w:t>（</w:t>
      </w:r>
      <w:r>
        <w:rPr>
          <w:rFonts w:hint="default" w:ascii="Times New Roman" w:hAnsi="Times New Roman" w:eastAsia="仿宋_GB2312" w:cs="Times New Roman"/>
          <w:color w:val="auto"/>
          <w:sz w:val="32"/>
          <w:szCs w:val="32"/>
          <w:u w:val="none"/>
          <w:lang w:val="en-US" w:eastAsia="zh-CN"/>
        </w:rPr>
        <w:t>7</w:t>
      </w:r>
      <w:r>
        <w:rPr>
          <w:rFonts w:hint="default" w:ascii="Times New Roman" w:hAnsi="Times New Roman" w:eastAsia="仿宋_GB2312" w:cs="Times New Roman"/>
          <w:color w:val="auto"/>
          <w:sz w:val="32"/>
          <w:szCs w:val="32"/>
          <w:u w:val="none"/>
          <w:lang w:eastAsia="zh-CN"/>
        </w:rPr>
        <w:t>）申报作品完成后应在本级地区电视台或融媒体中心定向投放播出，并参加四川省优秀科普作品、优秀科普微视频评选活动。</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黑体" w:cs="Times New Roman"/>
          <w:color w:val="auto"/>
          <w:sz w:val="32"/>
          <w:szCs w:val="32"/>
          <w:u w:val="none"/>
          <w:lang w:eastAsia="zh-CN"/>
        </w:rPr>
        <w:t>——有关要求</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（一）申报的项目应符合本指南所明确的支持方向，并在四川省内实施。项目申报单位应是在四川省内注册的独立法人单位，具有为项目实施提供相应场地设施和人才队伍等的能力和条件。</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cs="Times New Roman"/>
          <w:color w:val="auto"/>
          <w:u w:val="none"/>
          <w:lang w:eastAsia="zh-CN"/>
        </w:rPr>
      </w:pPr>
      <w:r>
        <w:rPr>
          <w:rFonts w:hint="default" w:ascii="Times New Roman" w:hAnsi="Times New Roman" w:eastAsia="仿宋_GB2312" w:cs="Times New Roman"/>
          <w:color w:val="auto"/>
          <w:sz w:val="32"/>
          <w:szCs w:val="32"/>
          <w:u w:val="none"/>
          <w:lang w:eastAsia="zh-CN"/>
        </w:rPr>
        <w:t>（二）申报科普项目对自筹资金与申请经费的比例不做要求。</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（三）多家单位联合申报时，须在申报材料中明确各参与单位承担的工作和职责。</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（四）项目负责人应具有相应的科技专业水平和科普工作经验，并具备完成项目的组织管理和协调能力。</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（五）项目承担单位须承诺将由财政资金支持取得的科普作品项目成果在全省范围内举行的科技活动周、科普活动月、送科技下乡、涉藏地区科普赋能行动等国家和省级重大群众性科普活动中无偿推广应用。</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仿宋_GB2312" w:cs="Times New Roman"/>
          <w:color w:val="auto"/>
          <w:sz w:val="32"/>
          <w:szCs w:val="32"/>
          <w:u w:val="none"/>
          <w:lang w:eastAsia="zh-CN"/>
        </w:rPr>
      </w:pPr>
      <w:r>
        <w:rPr>
          <w:rFonts w:hint="default" w:ascii="Times New Roman" w:hAnsi="Times New Roman" w:eastAsia="仿宋_GB2312" w:cs="Times New Roman"/>
          <w:color w:val="auto"/>
          <w:sz w:val="32"/>
          <w:szCs w:val="32"/>
          <w:u w:val="none"/>
          <w:lang w:eastAsia="zh-CN"/>
        </w:rPr>
        <w:t>（六）项目申报单位应分别填写《四川省科技培训项目申报书》《四川省科普作品创作项目申报书》，承诺内容详实、数据准确。</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_GBK">
    <w:altName w:val="微软雅黑"/>
    <w:panose1 w:val="02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方正小标宋简体">
    <w:altName w:val="黑体"/>
    <w:panose1 w:val="02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-209550</wp:posOffset>
              </wp:positionV>
              <wp:extent cx="807085" cy="422910"/>
              <wp:effectExtent l="0" t="0" r="0" b="0"/>
              <wp:wrapNone/>
              <wp:docPr id="3" name="文本框 1"/>
              <wp:cNvGraphicFramePr/>
              <a:graphic xmlns:a="http://schemas.openxmlformats.org/drawingml/2006/main">
                <a:graphicData uri="http://schemas.microsoft.com/office/word/2010/wordprocessingShape">
                  <wps:wsp>
                    <wps:cNvSpPr txBox="1"/>
                    <wps:spPr>
                      <a:xfrm>
                        <a:off x="0" y="0"/>
                        <a:ext cx="807085" cy="422910"/>
                      </a:xfrm>
                      <a:prstGeom prst="rect">
                        <a:avLst/>
                      </a:prstGeom>
                      <a:noFill/>
                      <a:ln w="6350">
                        <a:noFill/>
                      </a:ln>
                      <a:effectLst/>
                    </wps:spPr>
                    <wps:txbx>
                      <w:txbxContent>
                        <w:p>
                          <w:pPr>
                            <w:pStyle w:val="7"/>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87</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1" o:spid="_x0000_s1026" o:spt="202" type="#_x0000_t202" style="position:absolute;left:0pt;margin-top:-16.5pt;height:33.3pt;width:63.55pt;mso-position-horizontal:outside;mso-position-horizontal-relative:margin;z-index:251659264;mso-width-relative:page;mso-height-relative:page;" filled="f" stroked="f" coordsize="21600,21600" o:gfxdata="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Y2YeKdYAAAAHAQAADwAAAAAAAAABACAAAAAiAAAAZHJzL2Rvd25y&#10;ZXYueG1sUEsBAhQAFAAAAAgAh07iQA21DLA5AgAAYwQAAA4AAAAAAAAAAQAgAAAAJQEAAGRycy9l&#10;Mm9Eb2MueG1sUEsFBgAAAAAGAAYAWQEAANAFAAAAAA==&#10;">
              <v:fill on="f" focussize="0,0"/>
              <v:stroke on="f" weight="0.5pt"/>
              <v:imagedata o:title=""/>
              <o:lock v:ext="edit" aspectratio="f"/>
              <v:textbox inset="0mm,0mm,0mm,0mm">
                <w:txbxContent>
                  <w:p>
                    <w:pPr>
                      <w:pStyle w:val="7"/>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87</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lYTk4NzI2OGM4MDNiMTA4OGNkMjFkNDU1ODY1NzYifQ=="/>
  </w:docVars>
  <w:rsids>
    <w:rsidRoot w:val="00000000"/>
    <w:rsid w:val="0DA77C0B"/>
    <w:rsid w:val="29E509CA"/>
    <w:rsid w:val="7A7720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32"/>
      <w:lang w:val="en-US" w:eastAsia="zh-CN" w:bidi="ar-SA"/>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Plain Text"/>
    <w:qFormat/>
    <w:uiPriority w:val="0"/>
    <w:pPr>
      <w:widowControl w:val="0"/>
      <w:jc w:val="both"/>
    </w:pPr>
    <w:rPr>
      <w:rFonts w:ascii="宋体" w:hAnsi="Courier New" w:eastAsia="宋体" w:cs="Courier New"/>
      <w:kern w:val="2"/>
      <w:sz w:val="21"/>
      <w:szCs w:val="21"/>
      <w:lang w:val="en-US" w:eastAsia="zh-CN" w:bidi="ar-SA"/>
    </w:rPr>
  </w:style>
  <w:style w:type="paragraph" w:styleId="3">
    <w:name w:val="Salutation"/>
    <w:basedOn w:val="1"/>
    <w:next w:val="1"/>
    <w:unhideWhenUsed/>
    <w:qFormat/>
    <w:uiPriority w:val="0"/>
  </w:style>
  <w:style w:type="paragraph" w:styleId="4">
    <w:name w:val="Body Text"/>
    <w:basedOn w:val="1"/>
    <w:next w:val="5"/>
    <w:unhideWhenUsed/>
    <w:qFormat/>
    <w:uiPriority w:val="0"/>
    <w:pPr>
      <w:spacing w:after="120"/>
    </w:pPr>
  </w:style>
  <w:style w:type="paragraph" w:customStyle="1" w:styleId="5">
    <w:name w:val="Default"/>
    <w:basedOn w:val="1"/>
    <w:next w:val="1"/>
    <w:qFormat/>
    <w:uiPriority w:val="99"/>
    <w:pPr>
      <w:autoSpaceDE w:val="0"/>
      <w:autoSpaceDN w:val="0"/>
      <w:adjustRightInd w:val="0"/>
      <w:jc w:val="left"/>
    </w:pPr>
    <w:rPr>
      <w:rFonts w:ascii="仿宋_GB2312" w:hAnsi="Calibri" w:eastAsia="仿宋_GB2312"/>
      <w:color w:val="000000"/>
      <w:kern w:val="0"/>
      <w:sz w:val="24"/>
      <w:szCs w:val="24"/>
    </w:rPr>
  </w:style>
  <w:style w:type="paragraph" w:styleId="6">
    <w:name w:val="Body Text Indent"/>
    <w:basedOn w:val="1"/>
    <w:qFormat/>
    <w:uiPriority w:val="0"/>
    <w:pPr>
      <w:spacing w:after="120"/>
      <w:ind w:left="420" w:leftChars="200"/>
    </w:pPr>
  </w:style>
  <w:style w:type="paragraph" w:styleId="7">
    <w:name w:val="footer"/>
    <w:basedOn w:val="1"/>
    <w:qFormat/>
    <w:uiPriority w:val="99"/>
    <w:pPr>
      <w:tabs>
        <w:tab w:val="center" w:pos="4153"/>
        <w:tab w:val="right" w:pos="8306"/>
      </w:tabs>
      <w:snapToGrid w:val="0"/>
      <w:jc w:val="left"/>
    </w:pPr>
    <w:rPr>
      <w:sz w:val="18"/>
    </w:rPr>
  </w:style>
  <w:style w:type="paragraph" w:styleId="8">
    <w:name w:val="Normal (Web)"/>
    <w:basedOn w:val="1"/>
    <w:uiPriority w:val="0"/>
    <w:pPr>
      <w:spacing w:before="0" w:beforeAutospacing="1" w:after="0" w:afterAutospacing="1"/>
      <w:ind w:left="0" w:right="0"/>
      <w:jc w:val="left"/>
    </w:pPr>
    <w:rPr>
      <w:kern w:val="0"/>
      <w:sz w:val="24"/>
      <w:lang w:val="en-US" w:eastAsia="zh-CN" w:bidi="ar"/>
    </w:rPr>
  </w:style>
  <w:style w:type="paragraph" w:styleId="9">
    <w:name w:val="Body Text First Indent"/>
    <w:basedOn w:val="4"/>
    <w:unhideWhenUsed/>
    <w:qFormat/>
    <w:uiPriority w:val="0"/>
    <w:pPr>
      <w:ind w:firstLine="420" w:firstLineChars="100"/>
    </w:pPr>
  </w:style>
  <w:style w:type="paragraph" w:styleId="10">
    <w:name w:val="Body Text First Indent 2"/>
    <w:basedOn w:val="6"/>
    <w:qFormat/>
    <w:uiPriority w:val="0"/>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2023-08-15T13:19:00Z</dcterms:created>
  <dc:creator>KJB</dc:creator>
  <cp:lastModifiedBy>WPS_1489729600</cp:lastModifiedBy>
  <dcterms:modified xsi:type="dcterms:W3CDTF">2023-08-16T09:51:00Z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43EC0ADAC60746D8A45563E7E47BDEF1_12</vt:lpwstr>
  </property>
</Properties>
</file>