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992ED07" w14:textId="77777777" w:rsidR="00860A77" w:rsidRDefault="00000000">
      <w:pPr>
        <w:pStyle w:val="a0"/>
        <w:spacing w:line="560" w:lineRule="exact"/>
        <w:jc w:val="center"/>
        <w:rPr>
          <w:rFonts w:ascii="Times New Roman" w:eastAsia="方正小标宋_GBK" w:hAnsi="Times New Roman" w:cs="Times New Roman"/>
          <w:sz w:val="44"/>
          <w:szCs w:val="44"/>
        </w:rPr>
      </w:pPr>
      <w:r>
        <w:rPr>
          <w:rFonts w:ascii="Times New Roman" w:eastAsia="方正小标宋_GBK" w:hAnsi="Times New Roman" w:cs="Times New Roman"/>
          <w:sz w:val="44"/>
          <w:szCs w:val="44"/>
        </w:rPr>
        <w:t>2024</w:t>
      </w:r>
      <w:r>
        <w:rPr>
          <w:rFonts w:ascii="Times New Roman" w:eastAsia="方正小标宋_GBK" w:hAnsi="Times New Roman" w:cs="Times New Roman"/>
          <w:sz w:val="44"/>
          <w:szCs w:val="44"/>
        </w:rPr>
        <w:t>年四川省重点研发计划申报指南</w:t>
      </w:r>
    </w:p>
    <w:p w14:paraId="349BEF80" w14:textId="77777777" w:rsidR="00860A77" w:rsidRDefault="00860A77">
      <w:pPr>
        <w:suppressAutoHyphens/>
        <w:spacing w:line="560" w:lineRule="exact"/>
        <w:rPr>
          <w:rFonts w:eastAsia="黑体"/>
          <w:szCs w:val="32"/>
        </w:rPr>
      </w:pPr>
    </w:p>
    <w:p w14:paraId="5D3FBFB0" w14:textId="77777777" w:rsidR="00860A77" w:rsidRDefault="00000000">
      <w:pPr>
        <w:widowControl/>
        <w:suppressAutoHyphens/>
        <w:spacing w:line="560" w:lineRule="exact"/>
        <w:ind w:firstLineChars="200" w:firstLine="640"/>
        <w:rPr>
          <w:rFonts w:eastAsia="黑体"/>
          <w:szCs w:val="32"/>
        </w:rPr>
      </w:pPr>
      <w:r>
        <w:rPr>
          <w:rFonts w:eastAsia="黑体"/>
          <w:szCs w:val="32"/>
        </w:rPr>
        <w:t>一、省院省校科技合作重点研发</w:t>
      </w:r>
    </w:p>
    <w:p w14:paraId="71A9B9FF" w14:textId="77777777" w:rsidR="00860A77" w:rsidRDefault="00000000">
      <w:pPr>
        <w:widowControl/>
        <w:suppressAutoHyphens/>
        <w:spacing w:line="400" w:lineRule="exact"/>
        <w:ind w:firstLineChars="200" w:firstLine="600"/>
        <w:rPr>
          <w:rFonts w:eastAsia="楷体_GB2312"/>
          <w:sz w:val="30"/>
          <w:szCs w:val="30"/>
        </w:rPr>
      </w:pPr>
      <w:r>
        <w:rPr>
          <w:rFonts w:eastAsia="楷体_GB2312"/>
          <w:sz w:val="30"/>
          <w:szCs w:val="30"/>
        </w:rPr>
        <w:t>（该指南在线填写</w:t>
      </w:r>
      <w:r>
        <w:rPr>
          <w:rFonts w:eastAsia="楷体_GB2312"/>
          <w:sz w:val="30"/>
          <w:szCs w:val="30"/>
        </w:rPr>
        <w:t>“</w:t>
      </w:r>
      <w:r>
        <w:rPr>
          <w:rFonts w:eastAsia="楷体_GB2312"/>
          <w:sz w:val="30"/>
          <w:szCs w:val="30"/>
        </w:rPr>
        <w:t>四川省重点研发项目申报书（省院省校科技合作）</w:t>
      </w:r>
      <w:r>
        <w:rPr>
          <w:rFonts w:eastAsia="楷体_GB2312"/>
          <w:sz w:val="30"/>
          <w:szCs w:val="30"/>
        </w:rPr>
        <w:t>”</w:t>
      </w:r>
      <w:r>
        <w:rPr>
          <w:rFonts w:eastAsia="楷体_GB2312"/>
          <w:sz w:val="30"/>
          <w:szCs w:val="30"/>
        </w:rPr>
        <w:t>。指南咨询：刘雪娟</w:t>
      </w:r>
      <w:r>
        <w:rPr>
          <w:rFonts w:eastAsia="楷体_GB2312"/>
          <w:sz w:val="30"/>
          <w:szCs w:val="30"/>
        </w:rPr>
        <w:t xml:space="preserve"> 028-86717593</w:t>
      </w:r>
      <w:r>
        <w:rPr>
          <w:rFonts w:eastAsia="楷体_GB2312"/>
          <w:sz w:val="30"/>
          <w:szCs w:val="30"/>
        </w:rPr>
        <w:t>）</w:t>
      </w:r>
    </w:p>
    <w:p w14:paraId="17515D88" w14:textId="77777777" w:rsidR="00860A77" w:rsidRDefault="00860A77">
      <w:pPr>
        <w:widowControl/>
        <w:adjustRightInd w:val="0"/>
        <w:snapToGrid w:val="0"/>
        <w:spacing w:line="560" w:lineRule="exact"/>
        <w:ind w:firstLine="628"/>
        <w:rPr>
          <w:rFonts w:eastAsia="黑体"/>
          <w:kern w:val="0"/>
          <w:sz w:val="28"/>
          <w:szCs w:val="28"/>
        </w:rPr>
      </w:pPr>
    </w:p>
    <w:p w14:paraId="277DE17B" w14:textId="77777777" w:rsidR="00860A77" w:rsidRDefault="00000000">
      <w:pPr>
        <w:widowControl/>
        <w:adjustRightInd w:val="0"/>
        <w:snapToGrid w:val="0"/>
        <w:spacing w:line="560" w:lineRule="exact"/>
        <w:ind w:firstLine="628"/>
        <w:rPr>
          <w:rFonts w:eastAsia="仿宋_GB2312"/>
          <w:szCs w:val="32"/>
        </w:rPr>
      </w:pPr>
      <w:r>
        <w:rPr>
          <w:rFonts w:eastAsia="黑体"/>
          <w:kern w:val="0"/>
          <w:szCs w:val="32"/>
        </w:rPr>
        <w:t>——</w:t>
      </w:r>
      <w:r>
        <w:rPr>
          <w:rFonts w:eastAsia="黑体"/>
          <w:kern w:val="0"/>
          <w:szCs w:val="32"/>
        </w:rPr>
        <w:t>总体绩效目标：</w:t>
      </w:r>
      <w:r>
        <w:rPr>
          <w:rFonts w:eastAsia="仿宋_GB2312"/>
          <w:szCs w:val="32"/>
        </w:rPr>
        <w:t>通过合作研发，突破一批重大科学技术问题或关键核心技术，培养一批科技创新人才，申请专利</w:t>
      </w:r>
      <w:r>
        <w:rPr>
          <w:rFonts w:eastAsia="仿宋_GB2312"/>
          <w:szCs w:val="32"/>
        </w:rPr>
        <w:t>15</w:t>
      </w:r>
      <w:r>
        <w:rPr>
          <w:rFonts w:eastAsia="仿宋_GB2312"/>
          <w:szCs w:val="32"/>
        </w:rPr>
        <w:t>项以上，开发新技术新产品</w:t>
      </w:r>
      <w:r>
        <w:rPr>
          <w:rFonts w:eastAsia="仿宋_GB2312"/>
          <w:szCs w:val="32"/>
        </w:rPr>
        <w:t>20</w:t>
      </w:r>
      <w:r>
        <w:rPr>
          <w:rFonts w:eastAsia="仿宋_GB2312"/>
          <w:szCs w:val="32"/>
        </w:rPr>
        <w:t>个以上。</w:t>
      </w:r>
    </w:p>
    <w:p w14:paraId="233FF291" w14:textId="77777777" w:rsidR="00860A77" w:rsidRDefault="00000000">
      <w:pPr>
        <w:widowControl/>
        <w:adjustRightInd w:val="0"/>
        <w:snapToGrid w:val="0"/>
        <w:spacing w:line="560" w:lineRule="exact"/>
        <w:ind w:firstLine="628"/>
        <w:rPr>
          <w:rFonts w:eastAsia="黑体"/>
          <w:kern w:val="0"/>
          <w:szCs w:val="32"/>
        </w:rPr>
      </w:pPr>
      <w:r>
        <w:rPr>
          <w:rFonts w:eastAsia="黑体"/>
          <w:kern w:val="0"/>
          <w:szCs w:val="32"/>
        </w:rPr>
        <w:t>——</w:t>
      </w:r>
      <w:r>
        <w:rPr>
          <w:rFonts w:eastAsia="黑体"/>
          <w:kern w:val="0"/>
          <w:szCs w:val="32"/>
        </w:rPr>
        <w:t>资金支持方式和支持经费：</w:t>
      </w:r>
    </w:p>
    <w:p w14:paraId="67497812" w14:textId="77777777" w:rsidR="00860A77" w:rsidRDefault="00000000">
      <w:pPr>
        <w:widowControl/>
        <w:adjustRightInd w:val="0"/>
        <w:snapToGrid w:val="0"/>
        <w:spacing w:line="560" w:lineRule="exact"/>
        <w:ind w:firstLineChars="150" w:firstLine="480"/>
        <w:rPr>
          <w:rFonts w:eastAsia="楷体_GB2312"/>
          <w:kern w:val="0"/>
          <w:szCs w:val="32"/>
        </w:rPr>
      </w:pPr>
      <w:r>
        <w:rPr>
          <w:rFonts w:eastAsia="楷体_GB2312"/>
          <w:kern w:val="0"/>
          <w:szCs w:val="32"/>
        </w:rPr>
        <w:t>（一）专项资金采取前补助支持方式。</w:t>
      </w:r>
    </w:p>
    <w:p w14:paraId="08902AC0" w14:textId="77777777" w:rsidR="00860A77" w:rsidRDefault="00000000">
      <w:pPr>
        <w:widowControl/>
        <w:spacing w:line="560" w:lineRule="exact"/>
        <w:ind w:firstLineChars="150" w:firstLine="480"/>
        <w:rPr>
          <w:rFonts w:eastAsia="仿宋_GB2312"/>
          <w:szCs w:val="32"/>
        </w:rPr>
      </w:pPr>
      <w:r>
        <w:rPr>
          <w:rFonts w:eastAsia="楷体_GB2312"/>
          <w:kern w:val="0"/>
          <w:szCs w:val="32"/>
        </w:rPr>
        <w:t>（二）按照重点项目和面上项目进行分类支持。</w:t>
      </w:r>
    </w:p>
    <w:p w14:paraId="1DC4C3EB" w14:textId="77777777" w:rsidR="00860A77" w:rsidRDefault="00000000">
      <w:pPr>
        <w:widowControl/>
        <w:spacing w:line="560" w:lineRule="exact"/>
        <w:ind w:firstLineChars="200" w:firstLine="640"/>
        <w:rPr>
          <w:rFonts w:eastAsia="仿宋_GB2312"/>
          <w:szCs w:val="32"/>
        </w:rPr>
      </w:pPr>
      <w:r>
        <w:rPr>
          <w:rFonts w:eastAsia="仿宋_GB2312"/>
          <w:szCs w:val="32"/>
        </w:rPr>
        <w:t>重点项目主要是对接国家重大战略需求和省委省政府重大决策部署，依托省院省校优势科技资源，为解决产业发展关键核心问题而开展的研究。面上项目主要是指依托省院省校科技资源，围绕我省产业发展和公益民生可持续发展领域，为解决产业和学科普遍存在的基础性、共性问题而开展的研究。</w:t>
      </w:r>
    </w:p>
    <w:p w14:paraId="209CE2BE" w14:textId="77777777" w:rsidR="00860A77" w:rsidRDefault="00000000">
      <w:pPr>
        <w:widowControl/>
        <w:spacing w:line="560" w:lineRule="exact"/>
        <w:ind w:firstLineChars="200" w:firstLine="640"/>
        <w:rPr>
          <w:rFonts w:eastAsia="仿宋_GB2312"/>
          <w:szCs w:val="32"/>
        </w:rPr>
      </w:pPr>
      <w:r>
        <w:rPr>
          <w:rFonts w:eastAsia="仿宋_GB2312"/>
          <w:szCs w:val="32"/>
        </w:rPr>
        <w:t>重点项目支持经费不超过</w:t>
      </w:r>
      <w:r>
        <w:rPr>
          <w:rFonts w:eastAsia="仿宋_GB2312"/>
          <w:szCs w:val="32"/>
        </w:rPr>
        <w:t>50</w:t>
      </w:r>
      <w:r>
        <w:rPr>
          <w:rFonts w:eastAsia="仿宋_GB2312"/>
          <w:szCs w:val="32"/>
        </w:rPr>
        <w:t>万元</w:t>
      </w:r>
      <w:r>
        <w:rPr>
          <w:rFonts w:eastAsia="仿宋_GB2312"/>
          <w:szCs w:val="32"/>
        </w:rPr>
        <w:t>/</w:t>
      </w:r>
      <w:proofErr w:type="gramStart"/>
      <w:r>
        <w:rPr>
          <w:rFonts w:eastAsia="仿宋_GB2312"/>
          <w:szCs w:val="32"/>
        </w:rPr>
        <w:t>个</w:t>
      </w:r>
      <w:proofErr w:type="gramEnd"/>
      <w:r>
        <w:rPr>
          <w:rFonts w:eastAsia="仿宋_GB2312"/>
          <w:szCs w:val="32"/>
        </w:rPr>
        <w:t>，支持总数不超过</w:t>
      </w:r>
      <w:r>
        <w:rPr>
          <w:rFonts w:eastAsia="仿宋_GB2312"/>
          <w:szCs w:val="32"/>
        </w:rPr>
        <w:t>10</w:t>
      </w:r>
      <w:r>
        <w:rPr>
          <w:rFonts w:eastAsia="仿宋_GB2312"/>
          <w:szCs w:val="32"/>
        </w:rPr>
        <w:t>个；面上项目支持经费不超过</w:t>
      </w:r>
      <w:r>
        <w:rPr>
          <w:rFonts w:eastAsia="仿宋_GB2312"/>
          <w:szCs w:val="32"/>
        </w:rPr>
        <w:t>20</w:t>
      </w:r>
      <w:r>
        <w:rPr>
          <w:rFonts w:eastAsia="仿宋_GB2312"/>
          <w:szCs w:val="32"/>
        </w:rPr>
        <w:t>万元</w:t>
      </w:r>
      <w:r>
        <w:rPr>
          <w:rFonts w:eastAsia="仿宋_GB2312"/>
          <w:szCs w:val="32"/>
        </w:rPr>
        <w:t>/</w:t>
      </w:r>
      <w:proofErr w:type="gramStart"/>
      <w:r>
        <w:rPr>
          <w:rFonts w:eastAsia="仿宋_GB2312"/>
          <w:szCs w:val="32"/>
        </w:rPr>
        <w:t>个</w:t>
      </w:r>
      <w:proofErr w:type="gramEnd"/>
      <w:r>
        <w:rPr>
          <w:rFonts w:eastAsia="仿宋_GB2312"/>
          <w:szCs w:val="32"/>
        </w:rPr>
        <w:t>，支持总数不超过</w:t>
      </w:r>
      <w:r>
        <w:rPr>
          <w:rFonts w:eastAsia="仿宋_GB2312"/>
          <w:szCs w:val="32"/>
        </w:rPr>
        <w:t>50</w:t>
      </w:r>
      <w:r>
        <w:rPr>
          <w:rFonts w:eastAsia="仿宋_GB2312"/>
          <w:szCs w:val="32"/>
        </w:rPr>
        <w:t>个。按照项目申报类型，各类别之间不混合、不交叉支持，即申报的重点项目不调整至面上项目支持。</w:t>
      </w:r>
    </w:p>
    <w:p w14:paraId="3DB35ABB" w14:textId="77777777" w:rsidR="00860A77" w:rsidRDefault="00000000">
      <w:pPr>
        <w:widowControl/>
        <w:adjustRightInd w:val="0"/>
        <w:snapToGrid w:val="0"/>
        <w:spacing w:line="560" w:lineRule="exact"/>
        <w:ind w:firstLine="628"/>
        <w:rPr>
          <w:rFonts w:eastAsia="仿宋_GB2312"/>
          <w:szCs w:val="32"/>
        </w:rPr>
      </w:pPr>
      <w:r>
        <w:rPr>
          <w:rFonts w:eastAsia="黑体"/>
          <w:kern w:val="0"/>
          <w:szCs w:val="32"/>
        </w:rPr>
        <w:t>——</w:t>
      </w:r>
      <w:r>
        <w:rPr>
          <w:rFonts w:eastAsia="黑体"/>
          <w:kern w:val="0"/>
          <w:szCs w:val="32"/>
        </w:rPr>
        <w:t>实施周期：</w:t>
      </w:r>
      <w:r>
        <w:rPr>
          <w:rFonts w:eastAsia="仿宋_GB2312"/>
          <w:szCs w:val="32"/>
        </w:rPr>
        <w:t>重点项目实施周期为</w:t>
      </w:r>
      <w:r>
        <w:rPr>
          <w:rFonts w:eastAsia="仿宋_GB2312"/>
          <w:szCs w:val="32"/>
        </w:rPr>
        <w:t>2</w:t>
      </w:r>
      <w:r>
        <w:rPr>
          <w:rFonts w:eastAsia="仿宋_GB2312"/>
          <w:szCs w:val="32"/>
        </w:rPr>
        <w:t>年，面上项目实施周期为</w:t>
      </w:r>
      <w:r>
        <w:rPr>
          <w:rFonts w:eastAsia="仿宋_GB2312"/>
          <w:szCs w:val="32"/>
        </w:rPr>
        <w:t>1</w:t>
      </w:r>
      <w:r>
        <w:rPr>
          <w:rFonts w:eastAsia="仿宋_GB2312"/>
          <w:szCs w:val="32"/>
        </w:rPr>
        <w:t>年，起始时间为</w:t>
      </w:r>
      <w:r>
        <w:rPr>
          <w:rFonts w:eastAsia="仿宋_GB2312"/>
          <w:szCs w:val="32"/>
        </w:rPr>
        <w:t>2024</w:t>
      </w:r>
      <w:r>
        <w:rPr>
          <w:rFonts w:eastAsia="仿宋_GB2312"/>
          <w:szCs w:val="32"/>
        </w:rPr>
        <w:t>年</w:t>
      </w:r>
      <w:r>
        <w:rPr>
          <w:rFonts w:eastAsia="仿宋_GB2312"/>
          <w:szCs w:val="32"/>
        </w:rPr>
        <w:t>1</w:t>
      </w:r>
      <w:r>
        <w:rPr>
          <w:rFonts w:eastAsia="仿宋_GB2312"/>
          <w:szCs w:val="32"/>
        </w:rPr>
        <w:t>月。</w:t>
      </w:r>
    </w:p>
    <w:p w14:paraId="24AC8B41" w14:textId="77777777" w:rsidR="00860A77" w:rsidRDefault="00000000">
      <w:pPr>
        <w:widowControl/>
        <w:adjustRightInd w:val="0"/>
        <w:snapToGrid w:val="0"/>
        <w:spacing w:line="560" w:lineRule="exact"/>
        <w:ind w:firstLine="628"/>
        <w:rPr>
          <w:rFonts w:eastAsia="黑体"/>
          <w:kern w:val="0"/>
          <w:szCs w:val="32"/>
        </w:rPr>
      </w:pPr>
      <w:r>
        <w:rPr>
          <w:rFonts w:eastAsia="黑体"/>
          <w:kern w:val="0"/>
          <w:szCs w:val="32"/>
        </w:rPr>
        <w:t>——</w:t>
      </w:r>
      <w:r>
        <w:rPr>
          <w:rFonts w:eastAsia="黑体"/>
          <w:kern w:val="0"/>
          <w:szCs w:val="32"/>
        </w:rPr>
        <w:t>支持方向和重点：</w:t>
      </w:r>
    </w:p>
    <w:p w14:paraId="0A6715DB" w14:textId="77777777" w:rsidR="00860A77" w:rsidRDefault="00000000">
      <w:pPr>
        <w:widowControl/>
        <w:spacing w:line="560" w:lineRule="exact"/>
        <w:ind w:firstLineChars="150" w:firstLine="480"/>
        <w:rPr>
          <w:rFonts w:eastAsia="楷体_GB2312"/>
          <w:kern w:val="0"/>
          <w:szCs w:val="32"/>
        </w:rPr>
      </w:pPr>
      <w:r>
        <w:rPr>
          <w:rFonts w:eastAsia="楷体_GB2312"/>
          <w:szCs w:val="32"/>
        </w:rPr>
        <w:lastRenderedPageBreak/>
        <w:t>（</w:t>
      </w:r>
      <w:r>
        <w:rPr>
          <w:rFonts w:eastAsia="楷体_GB2312"/>
          <w:kern w:val="0"/>
          <w:szCs w:val="32"/>
        </w:rPr>
        <w:t>一）支持方向。</w:t>
      </w:r>
    </w:p>
    <w:p w14:paraId="2FBE32D9" w14:textId="77777777" w:rsidR="00860A77" w:rsidRDefault="00000000">
      <w:pPr>
        <w:widowControl/>
        <w:spacing w:line="560" w:lineRule="exact"/>
        <w:ind w:firstLineChars="200" w:firstLine="640"/>
        <w:rPr>
          <w:rFonts w:eastAsia="仿宋_GB2312"/>
          <w:szCs w:val="32"/>
        </w:rPr>
      </w:pPr>
      <w:r>
        <w:rPr>
          <w:rFonts w:eastAsia="仿宋_GB2312"/>
          <w:szCs w:val="32"/>
        </w:rPr>
        <w:t>围绕四川省现代产业体系整体布局，务实推进省院省校科技创新合作，重点支持省政府与院、</w:t>
      </w:r>
      <w:proofErr w:type="gramStart"/>
      <w:r>
        <w:rPr>
          <w:rFonts w:eastAsia="仿宋_GB2312"/>
          <w:szCs w:val="32"/>
        </w:rPr>
        <w:t>校签署</w:t>
      </w:r>
      <w:proofErr w:type="gramEnd"/>
      <w:r>
        <w:rPr>
          <w:rFonts w:eastAsia="仿宋_GB2312"/>
          <w:szCs w:val="32"/>
        </w:rPr>
        <w:t>战略合作协议议定事项和科技厅与院、</w:t>
      </w:r>
      <w:proofErr w:type="gramStart"/>
      <w:r>
        <w:rPr>
          <w:rFonts w:eastAsia="仿宋_GB2312"/>
          <w:szCs w:val="32"/>
        </w:rPr>
        <w:t>校签署</w:t>
      </w:r>
      <w:proofErr w:type="gramEnd"/>
      <w:r>
        <w:rPr>
          <w:rFonts w:eastAsia="仿宋_GB2312"/>
          <w:szCs w:val="32"/>
        </w:rPr>
        <w:t>年度科技创新合作计划议定事项。</w:t>
      </w:r>
    </w:p>
    <w:p w14:paraId="2EB182D4" w14:textId="77777777" w:rsidR="00860A77" w:rsidRDefault="00000000">
      <w:pPr>
        <w:widowControl/>
        <w:spacing w:line="560" w:lineRule="exact"/>
        <w:ind w:firstLineChars="200" w:firstLine="640"/>
        <w:rPr>
          <w:rFonts w:eastAsia="仿宋_GB2312"/>
          <w:szCs w:val="32"/>
        </w:rPr>
      </w:pPr>
      <w:r>
        <w:rPr>
          <w:rFonts w:eastAsia="仿宋_GB2312"/>
          <w:szCs w:val="32"/>
        </w:rPr>
        <w:t>按照</w:t>
      </w:r>
      <w:r>
        <w:rPr>
          <w:rFonts w:eastAsia="仿宋_GB2312"/>
          <w:szCs w:val="32"/>
        </w:rPr>
        <w:t>“</w:t>
      </w:r>
      <w:r>
        <w:rPr>
          <w:rFonts w:eastAsia="仿宋_GB2312"/>
          <w:szCs w:val="32"/>
        </w:rPr>
        <w:t>基地</w:t>
      </w:r>
      <w:r>
        <w:rPr>
          <w:rFonts w:eastAsia="仿宋_GB2312"/>
          <w:szCs w:val="32"/>
        </w:rPr>
        <w:t>+</w:t>
      </w:r>
      <w:r>
        <w:rPr>
          <w:rFonts w:eastAsia="仿宋_GB2312"/>
          <w:szCs w:val="32"/>
        </w:rPr>
        <w:t>项目</w:t>
      </w:r>
      <w:r>
        <w:rPr>
          <w:rFonts w:eastAsia="仿宋_GB2312"/>
          <w:szCs w:val="32"/>
        </w:rPr>
        <w:t>+</w:t>
      </w:r>
      <w:r>
        <w:rPr>
          <w:rFonts w:eastAsia="仿宋_GB2312"/>
          <w:szCs w:val="32"/>
        </w:rPr>
        <w:t>人才</w:t>
      </w:r>
      <w:r>
        <w:rPr>
          <w:rFonts w:eastAsia="仿宋_GB2312"/>
          <w:szCs w:val="32"/>
        </w:rPr>
        <w:t>+</w:t>
      </w:r>
      <w:r>
        <w:rPr>
          <w:rFonts w:eastAsia="仿宋_GB2312"/>
          <w:szCs w:val="32"/>
        </w:rPr>
        <w:t>任务</w:t>
      </w:r>
      <w:r>
        <w:rPr>
          <w:rFonts w:eastAsia="仿宋_GB2312"/>
          <w:szCs w:val="32"/>
        </w:rPr>
        <w:t>”</w:t>
      </w:r>
      <w:r>
        <w:rPr>
          <w:rFonts w:eastAsia="仿宋_GB2312"/>
          <w:szCs w:val="32"/>
        </w:rPr>
        <w:t>相结合的原则，重点支持在川全国重点实验室</w:t>
      </w:r>
      <w:r>
        <w:rPr>
          <w:rFonts w:eastAsia="仿宋_GB2312"/>
          <w:szCs w:val="32"/>
        </w:rPr>
        <w:t>/</w:t>
      </w:r>
      <w:r>
        <w:rPr>
          <w:rFonts w:eastAsia="仿宋_GB2312"/>
          <w:szCs w:val="32"/>
        </w:rPr>
        <w:t>国家重点实验室、天府实验室、四川省重点实验室固定研发人员（已备案），尤其是考核评估优秀的四川省重点实验室固定研发人员和</w:t>
      </w:r>
      <w:r>
        <w:rPr>
          <w:rFonts w:eastAsia="仿宋_GB2312"/>
          <w:szCs w:val="32"/>
        </w:rPr>
        <w:t>40</w:t>
      </w:r>
      <w:r>
        <w:rPr>
          <w:rFonts w:eastAsia="仿宋_GB2312"/>
          <w:szCs w:val="32"/>
        </w:rPr>
        <w:t>周岁及以下青年科技创新人才申报的项目。</w:t>
      </w:r>
    </w:p>
    <w:p w14:paraId="6AF4CA3E" w14:textId="77777777" w:rsidR="00860A77" w:rsidRDefault="00000000">
      <w:pPr>
        <w:widowControl/>
        <w:spacing w:line="560" w:lineRule="exact"/>
        <w:ind w:firstLineChars="200" w:firstLine="640"/>
        <w:rPr>
          <w:rFonts w:eastAsia="仿宋_GB2312"/>
          <w:szCs w:val="32"/>
        </w:rPr>
      </w:pPr>
      <w:r>
        <w:rPr>
          <w:rFonts w:eastAsia="仿宋_GB2312"/>
          <w:szCs w:val="32"/>
        </w:rPr>
        <w:t>按照区域协同、兼顾平衡的原则，视情对民族地区、偏远和欠发达地区等申报的项目倾斜支持。</w:t>
      </w:r>
    </w:p>
    <w:p w14:paraId="4BFF9473" w14:textId="77777777" w:rsidR="00860A77" w:rsidRDefault="00000000">
      <w:pPr>
        <w:widowControl/>
        <w:spacing w:line="560" w:lineRule="exact"/>
        <w:ind w:firstLineChars="150" w:firstLine="480"/>
        <w:rPr>
          <w:rFonts w:eastAsia="楷体_GB2312"/>
          <w:szCs w:val="32"/>
        </w:rPr>
      </w:pPr>
      <w:r>
        <w:rPr>
          <w:rFonts w:eastAsia="楷体_GB2312"/>
          <w:szCs w:val="32"/>
        </w:rPr>
        <w:t>（二）支持重点。</w:t>
      </w:r>
    </w:p>
    <w:p w14:paraId="26EED738" w14:textId="77777777" w:rsidR="00860A77" w:rsidRDefault="00000000">
      <w:pPr>
        <w:widowControl/>
        <w:spacing w:line="560" w:lineRule="exact"/>
        <w:ind w:firstLineChars="200" w:firstLine="640"/>
        <w:rPr>
          <w:rFonts w:eastAsia="仿宋_GB2312"/>
          <w:szCs w:val="32"/>
        </w:rPr>
      </w:pPr>
      <w:r>
        <w:rPr>
          <w:rFonts w:eastAsia="仿宋_GB2312"/>
          <w:szCs w:val="32"/>
        </w:rPr>
        <w:t>1.</w:t>
      </w:r>
      <w:r>
        <w:rPr>
          <w:rFonts w:eastAsia="仿宋_GB2312"/>
          <w:szCs w:val="32"/>
        </w:rPr>
        <w:t>电子信息。</w:t>
      </w:r>
    </w:p>
    <w:p w14:paraId="33C35836" w14:textId="77777777" w:rsidR="00860A77" w:rsidRDefault="00000000">
      <w:pPr>
        <w:widowControl/>
        <w:spacing w:line="560" w:lineRule="exact"/>
        <w:ind w:firstLineChars="200" w:firstLine="640"/>
        <w:rPr>
          <w:rFonts w:eastAsia="仿宋_GB2312"/>
          <w:szCs w:val="32"/>
        </w:rPr>
      </w:pPr>
      <w:r>
        <w:rPr>
          <w:rFonts w:eastAsia="仿宋_GB2312"/>
          <w:szCs w:val="32"/>
        </w:rPr>
        <w:t>集成电路智能制造与缺陷检测；河湖水域岸线遥感监测与评估关键技术；基于智能水表的用水量监测和预警技术研究；应用于小型终端的低功耗智能信息处理单元；确定性以太网关键技术研究；面向山地道路的多</w:t>
      </w:r>
      <w:proofErr w:type="gramStart"/>
      <w:r>
        <w:rPr>
          <w:rFonts w:eastAsia="仿宋_GB2312"/>
          <w:szCs w:val="32"/>
        </w:rPr>
        <w:t>源数据</w:t>
      </w:r>
      <w:proofErr w:type="gramEnd"/>
      <w:r>
        <w:rPr>
          <w:rFonts w:eastAsia="仿宋_GB2312"/>
          <w:szCs w:val="32"/>
        </w:rPr>
        <w:t>融合路况信息智能监测与语义提取研究；基于磁传感器的微弱信号检测技术；大型枢纽机场航班运行控制智能推演系统关键技术研究与应用；</w:t>
      </w:r>
      <w:r>
        <w:rPr>
          <w:rFonts w:eastAsia="仿宋_GB2312"/>
          <w:szCs w:val="32"/>
        </w:rPr>
        <w:t>β-Ga2O3</w:t>
      </w:r>
      <w:r>
        <w:rPr>
          <w:rFonts w:eastAsia="仿宋_GB2312"/>
          <w:szCs w:val="32"/>
        </w:rPr>
        <w:t>材料及肖特基器件低温辐射环境失效机理和评价技术；多体制激光相干合成与检测系统关键技术研究；监控视频异常事件处理关键技术研究；拒</w:t>
      </w:r>
      <w:proofErr w:type="gramStart"/>
      <w:r>
        <w:rPr>
          <w:rFonts w:eastAsia="仿宋_GB2312"/>
          <w:szCs w:val="32"/>
        </w:rPr>
        <w:t>止条件</w:t>
      </w:r>
      <w:proofErr w:type="gramEnd"/>
      <w:r>
        <w:rPr>
          <w:rFonts w:eastAsia="仿宋_GB2312"/>
          <w:szCs w:val="32"/>
        </w:rPr>
        <w:t>下无人平台的多</w:t>
      </w:r>
      <w:proofErr w:type="gramStart"/>
      <w:r>
        <w:rPr>
          <w:rFonts w:eastAsia="仿宋_GB2312"/>
          <w:szCs w:val="32"/>
        </w:rPr>
        <w:t>域目标</w:t>
      </w:r>
      <w:proofErr w:type="gramEnd"/>
      <w:r>
        <w:rPr>
          <w:rFonts w:eastAsia="仿宋_GB2312"/>
          <w:szCs w:val="32"/>
        </w:rPr>
        <w:t>精确态势生成技术；智慧养殖一体化关键技术体</w:t>
      </w:r>
      <w:r>
        <w:rPr>
          <w:rFonts w:eastAsia="仿宋_GB2312"/>
          <w:szCs w:val="32"/>
        </w:rPr>
        <w:lastRenderedPageBreak/>
        <w:t>系构建及应用；基于人工智能的膀胱癌辅助诊疗；大数据和生成式</w:t>
      </w:r>
      <w:r>
        <w:rPr>
          <w:rFonts w:eastAsia="仿宋_GB2312"/>
          <w:szCs w:val="32"/>
        </w:rPr>
        <w:t>AI</w:t>
      </w:r>
      <w:r>
        <w:rPr>
          <w:rFonts w:eastAsia="仿宋_GB2312"/>
          <w:szCs w:val="32"/>
        </w:rPr>
        <w:t>赋能新兴产业研究及产业大脑</w:t>
      </w:r>
      <w:proofErr w:type="gramStart"/>
      <w:r>
        <w:rPr>
          <w:rFonts w:eastAsia="仿宋_GB2312"/>
          <w:szCs w:val="32"/>
        </w:rPr>
        <w:t>数智化创新</w:t>
      </w:r>
      <w:proofErr w:type="gramEnd"/>
      <w:r>
        <w:rPr>
          <w:rFonts w:eastAsia="仿宋_GB2312"/>
          <w:szCs w:val="32"/>
        </w:rPr>
        <w:t>应用；面向核工程一体化控制的自主编译器软件关键技术研究；毫米波雷达技术在生物探测领域的识别跟踪、姿态识别、体征探测、智能预告警等关键技术；交通高频段毫米波雷达关键技术；基于多元异构大数据信息的金融安全预警系统研究；针对川西水电消纳的</w:t>
      </w:r>
      <w:proofErr w:type="gramStart"/>
      <w:r>
        <w:rPr>
          <w:rFonts w:eastAsia="仿宋_GB2312"/>
          <w:szCs w:val="32"/>
        </w:rPr>
        <w:t>高容灾性云边</w:t>
      </w:r>
      <w:proofErr w:type="gramEnd"/>
      <w:r>
        <w:rPr>
          <w:rFonts w:eastAsia="仿宋_GB2312"/>
          <w:szCs w:val="32"/>
        </w:rPr>
        <w:t>协同去中心化</w:t>
      </w:r>
      <w:r>
        <w:rPr>
          <w:rFonts w:eastAsia="仿宋_GB2312"/>
          <w:szCs w:val="32"/>
        </w:rPr>
        <w:t>AI</w:t>
      </w:r>
      <w:r>
        <w:rPr>
          <w:rFonts w:eastAsia="仿宋_GB2312"/>
          <w:szCs w:val="32"/>
        </w:rPr>
        <w:t>计算调度框架关键技术研发；类脑脉冲神经网络高效压缩方法与数据建设；工业互联网、智能工厂、数字孪生、虚拟现实、数字化生产线。</w:t>
      </w:r>
    </w:p>
    <w:p w14:paraId="681BD36D" w14:textId="77777777" w:rsidR="00860A77" w:rsidRDefault="00000000">
      <w:pPr>
        <w:widowControl/>
        <w:spacing w:line="560" w:lineRule="exact"/>
        <w:ind w:firstLineChars="200" w:firstLine="640"/>
        <w:rPr>
          <w:rFonts w:eastAsia="仿宋_GB2312"/>
          <w:szCs w:val="32"/>
        </w:rPr>
      </w:pPr>
      <w:r>
        <w:rPr>
          <w:rFonts w:eastAsia="仿宋_GB2312"/>
          <w:szCs w:val="32"/>
        </w:rPr>
        <w:t>2.</w:t>
      </w:r>
      <w:r>
        <w:rPr>
          <w:rFonts w:eastAsia="仿宋_GB2312"/>
          <w:szCs w:val="32"/>
        </w:rPr>
        <w:t>装备制造。</w:t>
      </w:r>
    </w:p>
    <w:p w14:paraId="0E8AE533" w14:textId="77777777" w:rsidR="00860A77" w:rsidRDefault="00000000">
      <w:pPr>
        <w:pStyle w:val="a5"/>
        <w:widowControl/>
        <w:spacing w:line="560" w:lineRule="exact"/>
        <w:ind w:firstLine="320"/>
        <w:rPr>
          <w:rFonts w:eastAsia="仿宋_GB2312"/>
          <w:szCs w:val="32"/>
        </w:rPr>
      </w:pPr>
      <w:r>
        <w:rPr>
          <w:rFonts w:eastAsia="仿宋_GB2312"/>
          <w:szCs w:val="32"/>
        </w:rPr>
        <w:t xml:space="preserve">  </w:t>
      </w:r>
      <w:r>
        <w:rPr>
          <w:rFonts w:eastAsia="仿宋_GB2312"/>
          <w:szCs w:val="32"/>
        </w:rPr>
        <w:t>数字孪生驱动的航空发动机关键零件等性能提升技术；低阶煤化热解燃烧分级转化分质多联产利用技术；等离子体超精密光学制造技术；高分辨大矢高超半球激光直</w:t>
      </w:r>
      <w:proofErr w:type="gramStart"/>
      <w:r>
        <w:rPr>
          <w:rFonts w:eastAsia="仿宋_GB2312"/>
          <w:szCs w:val="32"/>
        </w:rPr>
        <w:t>写系统</w:t>
      </w:r>
      <w:proofErr w:type="gramEnd"/>
      <w:r>
        <w:rPr>
          <w:rFonts w:eastAsia="仿宋_GB2312"/>
          <w:szCs w:val="32"/>
        </w:rPr>
        <w:t>及关键技术研究；异质材料飞秒激光低热制造技术与装备；服务于轨道交通的多维智能轴承关键技术研究；面向轨道交通环境感知的景深拓展计算光学成像技术研究；基于新型光学传感技术的轨道交通设备非接触式监测与故障分析技术；航空发动机涡轮叶片冷却效果数字化评估方法及软件；冷却涡轮叶片三维流场精细化设计与检测关键技术；航空发动机关键部件高效封严、冷却技术；航空发动机高空模拟试验空中起动性能预测；极地飞行中民机导航能力提升关键技术研究；涡扇、</w:t>
      </w:r>
      <w:proofErr w:type="gramStart"/>
      <w:r>
        <w:rPr>
          <w:rFonts w:eastAsia="仿宋_GB2312"/>
          <w:szCs w:val="32"/>
        </w:rPr>
        <w:t>涡</w:t>
      </w:r>
      <w:proofErr w:type="gramEnd"/>
      <w:r>
        <w:rPr>
          <w:rFonts w:eastAsia="仿宋_GB2312"/>
          <w:szCs w:val="32"/>
        </w:rPr>
        <w:t>轴发动机高空</w:t>
      </w:r>
      <w:proofErr w:type="gramStart"/>
      <w:r>
        <w:rPr>
          <w:rFonts w:eastAsia="仿宋_GB2312"/>
          <w:szCs w:val="32"/>
        </w:rPr>
        <w:t>舱次流</w:t>
      </w:r>
      <w:proofErr w:type="gramEnd"/>
      <w:r>
        <w:rPr>
          <w:rFonts w:eastAsia="仿宋_GB2312"/>
          <w:szCs w:val="32"/>
        </w:rPr>
        <w:t>作用力的数字化校准技术；</w:t>
      </w:r>
      <w:proofErr w:type="gramStart"/>
      <w:r>
        <w:rPr>
          <w:rFonts w:eastAsia="仿宋_GB2312"/>
          <w:szCs w:val="32"/>
        </w:rPr>
        <w:t>马赫数超燃冲压</w:t>
      </w:r>
      <w:proofErr w:type="gramEnd"/>
      <w:r>
        <w:rPr>
          <w:rFonts w:eastAsia="仿宋_GB2312"/>
          <w:szCs w:val="32"/>
        </w:rPr>
        <w:t>发动机氢燃料反应动力学模型研究；通用航空</w:t>
      </w:r>
      <w:r>
        <w:rPr>
          <w:rFonts w:eastAsia="仿宋_GB2312"/>
          <w:szCs w:val="32"/>
        </w:rPr>
        <w:lastRenderedPageBreak/>
        <w:t>活塞发动机核心零部件再制造技术研究；基于</w:t>
      </w:r>
      <w:r>
        <w:rPr>
          <w:rFonts w:eastAsia="仿宋_GB2312"/>
          <w:szCs w:val="32"/>
        </w:rPr>
        <w:t>ADS-B</w:t>
      </w:r>
      <w:r>
        <w:rPr>
          <w:rFonts w:eastAsia="仿宋_GB2312"/>
          <w:szCs w:val="32"/>
        </w:rPr>
        <w:t>和航空业务电报数据的四川省低空空域数据分析技术及系统；通用航空</w:t>
      </w:r>
      <w:proofErr w:type="gramStart"/>
      <w:r>
        <w:rPr>
          <w:rFonts w:eastAsia="仿宋_GB2312"/>
          <w:szCs w:val="32"/>
        </w:rPr>
        <w:t>有人机</w:t>
      </w:r>
      <w:proofErr w:type="gramEnd"/>
      <w:r>
        <w:rPr>
          <w:rFonts w:eastAsia="仿宋_GB2312"/>
          <w:szCs w:val="32"/>
        </w:rPr>
        <w:t>无人机融合运行关键技术</w:t>
      </w:r>
      <w:r>
        <w:rPr>
          <w:rFonts w:eastAsia="仿宋_GB2312" w:hint="eastAsia"/>
          <w:szCs w:val="32"/>
        </w:rPr>
        <w:t>。</w:t>
      </w:r>
    </w:p>
    <w:p w14:paraId="01879EE3" w14:textId="77777777" w:rsidR="00860A77" w:rsidRDefault="00000000">
      <w:pPr>
        <w:widowControl/>
        <w:spacing w:line="560" w:lineRule="exact"/>
        <w:ind w:firstLineChars="200" w:firstLine="640"/>
        <w:rPr>
          <w:rFonts w:eastAsia="仿宋_GB2312"/>
          <w:szCs w:val="32"/>
        </w:rPr>
      </w:pPr>
      <w:r>
        <w:rPr>
          <w:rFonts w:eastAsia="仿宋_GB2312"/>
          <w:szCs w:val="32"/>
        </w:rPr>
        <w:t>3.</w:t>
      </w:r>
      <w:r>
        <w:rPr>
          <w:rFonts w:eastAsia="仿宋_GB2312"/>
          <w:szCs w:val="32"/>
        </w:rPr>
        <w:t>先进材料。</w:t>
      </w:r>
    </w:p>
    <w:p w14:paraId="4AE71746" w14:textId="77777777" w:rsidR="00860A77" w:rsidRDefault="00000000">
      <w:pPr>
        <w:widowControl/>
        <w:spacing w:line="560" w:lineRule="exact"/>
        <w:ind w:firstLineChars="200" w:firstLine="640"/>
        <w:rPr>
          <w:rFonts w:eastAsia="仿宋_GB2312"/>
          <w:szCs w:val="32"/>
        </w:rPr>
      </w:pPr>
      <w:r>
        <w:rPr>
          <w:rFonts w:eastAsia="仿宋_GB2312"/>
          <w:szCs w:val="32"/>
        </w:rPr>
        <w:t>高精准人体运动姿态监测柔性传感材料研究；基于工业废弃材料的钠离子</w:t>
      </w:r>
      <w:proofErr w:type="gramStart"/>
      <w:r>
        <w:rPr>
          <w:rFonts w:eastAsia="仿宋_GB2312"/>
          <w:szCs w:val="32"/>
        </w:rPr>
        <w:t>电池硬碳负极</w:t>
      </w:r>
      <w:proofErr w:type="gramEnd"/>
      <w:r>
        <w:rPr>
          <w:rFonts w:eastAsia="仿宋_GB2312"/>
          <w:szCs w:val="32"/>
        </w:rPr>
        <w:t>材料前驱体筛选及工艺优化；轻量化海洋装备防腐功能涂层关键技术；玄武岩连续</w:t>
      </w:r>
      <w:proofErr w:type="gramStart"/>
      <w:r>
        <w:rPr>
          <w:rFonts w:eastAsia="仿宋_GB2312"/>
          <w:szCs w:val="32"/>
        </w:rPr>
        <w:t>纤维增材制造</w:t>
      </w:r>
      <w:proofErr w:type="gramEnd"/>
      <w:r>
        <w:rPr>
          <w:rFonts w:eastAsia="仿宋_GB2312"/>
          <w:szCs w:val="32"/>
        </w:rPr>
        <w:t>中的关键技术研究；高端精密注塑模具耐磨、耐蚀材料关键技术研发及应用示范；恶性肿瘤声动力疗法</w:t>
      </w:r>
      <w:r>
        <w:rPr>
          <w:rFonts w:eastAsia="仿宋_GB2312"/>
          <w:szCs w:val="32"/>
        </w:rPr>
        <w:t>SDT</w:t>
      </w:r>
      <w:r>
        <w:rPr>
          <w:rFonts w:eastAsia="仿宋_GB2312"/>
          <w:szCs w:val="32"/>
        </w:rPr>
        <w:t>关键技术。</w:t>
      </w:r>
    </w:p>
    <w:p w14:paraId="1E74A3BC" w14:textId="77777777" w:rsidR="00860A77" w:rsidRDefault="00000000">
      <w:pPr>
        <w:widowControl/>
        <w:spacing w:line="560" w:lineRule="exact"/>
        <w:ind w:firstLineChars="200" w:firstLine="640"/>
        <w:rPr>
          <w:rFonts w:eastAsia="仿宋_GB2312"/>
          <w:szCs w:val="32"/>
        </w:rPr>
      </w:pPr>
      <w:r>
        <w:rPr>
          <w:rFonts w:eastAsia="仿宋_GB2312"/>
          <w:szCs w:val="32"/>
        </w:rPr>
        <w:t>4.</w:t>
      </w:r>
      <w:r>
        <w:rPr>
          <w:rFonts w:eastAsia="仿宋_GB2312"/>
          <w:szCs w:val="32"/>
        </w:rPr>
        <w:t>能源化工。</w:t>
      </w:r>
    </w:p>
    <w:p w14:paraId="7BBA374A" w14:textId="77777777" w:rsidR="00860A77" w:rsidRDefault="00000000">
      <w:pPr>
        <w:widowControl/>
        <w:spacing w:line="560" w:lineRule="exact"/>
        <w:ind w:firstLineChars="200" w:firstLine="640"/>
        <w:rPr>
          <w:rFonts w:eastAsia="仿宋_GB2312"/>
          <w:szCs w:val="32"/>
        </w:rPr>
      </w:pPr>
      <w:r>
        <w:rPr>
          <w:rFonts w:eastAsia="仿宋_GB2312"/>
          <w:szCs w:val="32"/>
        </w:rPr>
        <w:t>废水制氢及资源化利用关键技术研发与应用；</w:t>
      </w:r>
      <w:r>
        <w:rPr>
          <w:rFonts w:eastAsia="仿宋_GB2312"/>
          <w:szCs w:val="32"/>
        </w:rPr>
        <w:t>CO2</w:t>
      </w:r>
      <w:r>
        <w:rPr>
          <w:rFonts w:eastAsia="仿宋_GB2312"/>
          <w:szCs w:val="32"/>
        </w:rPr>
        <w:t>加氢制甲醇催化剂体系设计及制备；高性能管壳式换热器研制；高性能固体氧化物燃料电池低温化研究；光伏与电催化</w:t>
      </w:r>
      <w:r>
        <w:rPr>
          <w:rFonts w:eastAsia="仿宋_GB2312"/>
          <w:szCs w:val="32"/>
        </w:rPr>
        <w:t>CO2</w:t>
      </w:r>
      <w:r>
        <w:rPr>
          <w:rFonts w:eastAsia="仿宋_GB2312"/>
          <w:szCs w:val="32"/>
        </w:rPr>
        <w:t>还原制燃料匹配特性研究与设计；高性能生物质燃料制备；</w:t>
      </w:r>
      <w:r w:rsidRPr="00E01AC3">
        <w:rPr>
          <w:rFonts w:eastAsia="仿宋_GB2312"/>
          <w:szCs w:val="32"/>
        </w:rPr>
        <w:t>放疗精准化肿瘤治疗药物研发；磁阻电机型控制棒驱动机构电磁耦合机理及优化设计研究；暗物质探测技术及低放射性本底技术研究；</w:t>
      </w:r>
      <w:proofErr w:type="gramStart"/>
      <w:r w:rsidRPr="00E01AC3">
        <w:rPr>
          <w:rFonts w:eastAsia="仿宋_GB2312"/>
          <w:szCs w:val="32"/>
        </w:rPr>
        <w:t>面向增材制造</w:t>
      </w:r>
      <w:proofErr w:type="gramEnd"/>
      <w:r w:rsidRPr="00E01AC3">
        <w:rPr>
          <w:rFonts w:eastAsia="仿宋_GB2312"/>
          <w:szCs w:val="32"/>
        </w:rPr>
        <w:t>的先进核燃料关键</w:t>
      </w:r>
      <w:proofErr w:type="gramStart"/>
      <w:r w:rsidRPr="00E01AC3">
        <w:rPr>
          <w:rFonts w:eastAsia="仿宋_GB2312"/>
          <w:szCs w:val="32"/>
        </w:rPr>
        <w:t>部件功构一体化</w:t>
      </w:r>
      <w:proofErr w:type="gramEnd"/>
      <w:r w:rsidRPr="00E01AC3">
        <w:rPr>
          <w:rFonts w:eastAsia="仿宋_GB2312"/>
          <w:szCs w:val="32"/>
        </w:rPr>
        <w:t>正向设计方法研究</w:t>
      </w:r>
      <w:r>
        <w:rPr>
          <w:rFonts w:eastAsia="仿宋_GB2312"/>
          <w:szCs w:val="32"/>
        </w:rPr>
        <w:t>。</w:t>
      </w:r>
    </w:p>
    <w:p w14:paraId="31E8037A" w14:textId="77777777" w:rsidR="00860A77" w:rsidRDefault="00000000">
      <w:pPr>
        <w:spacing w:line="560" w:lineRule="exact"/>
        <w:ind w:firstLineChars="200" w:firstLine="640"/>
        <w:rPr>
          <w:rFonts w:eastAsia="仿宋_GB2312"/>
          <w:szCs w:val="32"/>
        </w:rPr>
      </w:pPr>
      <w:r>
        <w:rPr>
          <w:rFonts w:eastAsia="仿宋_GB2312"/>
          <w:szCs w:val="32"/>
        </w:rPr>
        <w:t>5.</w:t>
      </w:r>
      <w:r>
        <w:rPr>
          <w:rFonts w:eastAsia="仿宋_GB2312"/>
          <w:szCs w:val="32"/>
        </w:rPr>
        <w:t>食品轻纺。</w:t>
      </w:r>
    </w:p>
    <w:p w14:paraId="2CDA20E2" w14:textId="77777777" w:rsidR="00860A77" w:rsidRDefault="00000000">
      <w:pPr>
        <w:spacing w:line="560" w:lineRule="exact"/>
        <w:ind w:firstLineChars="200" w:firstLine="640"/>
        <w:rPr>
          <w:rFonts w:eastAsia="仿宋_GB2312"/>
          <w:szCs w:val="32"/>
        </w:rPr>
      </w:pPr>
      <w:r>
        <w:rPr>
          <w:rFonts w:eastAsia="仿宋_GB2312"/>
          <w:szCs w:val="32"/>
        </w:rPr>
        <w:t>功能性乳蛋白改性关键技术研究与应用；</w:t>
      </w:r>
      <w:proofErr w:type="gramStart"/>
      <w:r>
        <w:rPr>
          <w:rFonts w:eastAsia="仿宋_GB2312"/>
          <w:szCs w:val="32"/>
        </w:rPr>
        <w:t>具抗炎症</w:t>
      </w:r>
      <w:proofErr w:type="gramEnd"/>
      <w:r>
        <w:rPr>
          <w:rFonts w:eastAsia="仿宋_GB2312"/>
          <w:szCs w:val="32"/>
        </w:rPr>
        <w:t>作用的功能性益生</w:t>
      </w:r>
      <w:proofErr w:type="gramStart"/>
      <w:r>
        <w:rPr>
          <w:rFonts w:eastAsia="仿宋_GB2312"/>
          <w:szCs w:val="32"/>
        </w:rPr>
        <w:t>菌作用</w:t>
      </w:r>
      <w:proofErr w:type="gramEnd"/>
      <w:r>
        <w:rPr>
          <w:rFonts w:eastAsia="仿宋_GB2312"/>
          <w:szCs w:val="32"/>
        </w:rPr>
        <w:t>机制及应用；连续纤维非织造</w:t>
      </w:r>
      <w:r>
        <w:rPr>
          <w:rFonts w:eastAsia="仿宋_GB2312"/>
          <w:szCs w:val="32"/>
        </w:rPr>
        <w:t>3D</w:t>
      </w:r>
      <w:r>
        <w:rPr>
          <w:rFonts w:eastAsia="仿宋_GB2312"/>
          <w:szCs w:val="32"/>
        </w:rPr>
        <w:t>打印复合材料制备技术及应用。</w:t>
      </w:r>
    </w:p>
    <w:p w14:paraId="472C5578" w14:textId="77777777" w:rsidR="00860A77" w:rsidRPr="00E01AC3" w:rsidRDefault="00000000">
      <w:pPr>
        <w:spacing w:line="560" w:lineRule="exact"/>
        <w:ind w:firstLineChars="200" w:firstLine="640"/>
        <w:rPr>
          <w:rFonts w:eastAsia="仿宋_GB2312"/>
          <w:szCs w:val="32"/>
        </w:rPr>
      </w:pPr>
      <w:r w:rsidRPr="00E01AC3">
        <w:rPr>
          <w:rFonts w:eastAsia="仿宋_GB2312"/>
          <w:szCs w:val="32"/>
        </w:rPr>
        <w:t>6.</w:t>
      </w:r>
      <w:r w:rsidRPr="00E01AC3">
        <w:rPr>
          <w:rFonts w:eastAsia="仿宋_GB2312"/>
          <w:szCs w:val="32"/>
        </w:rPr>
        <w:t>医药健康。</w:t>
      </w:r>
    </w:p>
    <w:p w14:paraId="0AD7AE7E" w14:textId="77777777" w:rsidR="00860A77" w:rsidRDefault="00000000">
      <w:pPr>
        <w:spacing w:line="560" w:lineRule="exact"/>
        <w:ind w:firstLineChars="200" w:firstLine="640"/>
        <w:rPr>
          <w:rFonts w:eastAsia="仿宋_GB2312"/>
          <w:szCs w:val="32"/>
        </w:rPr>
      </w:pPr>
      <w:r w:rsidRPr="00E01AC3">
        <w:rPr>
          <w:rFonts w:eastAsia="仿宋_GB2312"/>
          <w:szCs w:val="32"/>
        </w:rPr>
        <w:lastRenderedPageBreak/>
        <w:t>四川特色中药材质量提升及快速检测关键技术研究；基于大数据和人工智能的疾病诊治评估模型和一体化系统；牙体硬组织感染性疾病的靶向生态防治研究；基于神经肌肉骨骼模型的肌力预测技术用于康复机器人控制及运动重建机制研究；耐辐射微生物的耐受机制及在抗逆环境中</w:t>
      </w:r>
      <w:r>
        <w:rPr>
          <w:rFonts w:eastAsia="仿宋_GB2312"/>
          <w:szCs w:val="32"/>
        </w:rPr>
        <w:t>的应用；高通量基因组测序与实时化生物信息</w:t>
      </w:r>
      <w:proofErr w:type="gramStart"/>
      <w:r>
        <w:rPr>
          <w:rFonts w:eastAsia="仿宋_GB2312"/>
          <w:szCs w:val="32"/>
        </w:rPr>
        <w:t>多机超算分析</w:t>
      </w:r>
      <w:proofErr w:type="gramEnd"/>
      <w:r>
        <w:rPr>
          <w:rFonts w:eastAsia="仿宋_GB2312"/>
          <w:szCs w:val="32"/>
        </w:rPr>
        <w:t>关键技术研究；基于化学蛋白质组学的临床标志物发现；基于</w:t>
      </w:r>
      <w:r>
        <w:rPr>
          <w:rFonts w:eastAsia="仿宋_GB2312"/>
          <w:szCs w:val="32"/>
        </w:rPr>
        <w:t>RNA</w:t>
      </w:r>
      <w:r>
        <w:rPr>
          <w:rFonts w:eastAsia="仿宋_GB2312"/>
          <w:szCs w:val="32"/>
        </w:rPr>
        <w:t>病毒的哺乳动物细胞合成生物学；人工智能辅助药物研发。</w:t>
      </w:r>
    </w:p>
    <w:p w14:paraId="0F4DDFB5" w14:textId="77777777" w:rsidR="00860A77" w:rsidRDefault="00000000">
      <w:pPr>
        <w:spacing w:line="560" w:lineRule="exact"/>
        <w:ind w:firstLineChars="200" w:firstLine="640"/>
        <w:rPr>
          <w:rFonts w:eastAsia="黑体"/>
          <w:szCs w:val="32"/>
        </w:rPr>
      </w:pPr>
      <w:r>
        <w:rPr>
          <w:rFonts w:eastAsia="黑体"/>
          <w:szCs w:val="32"/>
        </w:rPr>
        <w:t>申报要求：</w:t>
      </w:r>
    </w:p>
    <w:p w14:paraId="398BE49E" w14:textId="77777777" w:rsidR="00860A77" w:rsidRDefault="00000000">
      <w:pPr>
        <w:spacing w:line="560" w:lineRule="exact"/>
        <w:ind w:firstLineChars="200" w:firstLine="640"/>
        <w:rPr>
          <w:rFonts w:eastAsia="仿宋_GB2312"/>
          <w:szCs w:val="32"/>
        </w:rPr>
      </w:pPr>
      <w:r>
        <w:rPr>
          <w:rFonts w:eastAsia="仿宋_GB2312"/>
          <w:szCs w:val="32"/>
        </w:rPr>
        <w:t>申报单位须是在四川省境内注册或位于四川省境内，具有独立的法人资格，且必须和与省政府已签署战略合作协议的省内外高校、院所联合申报。其中，高校所属医院、附属医院经由签约高校院所统一申报。</w:t>
      </w:r>
    </w:p>
    <w:p w14:paraId="46CE4E46" w14:textId="77777777" w:rsidR="00860A77" w:rsidRDefault="00000000">
      <w:pPr>
        <w:widowControl/>
        <w:spacing w:line="560" w:lineRule="exact"/>
        <w:ind w:firstLineChars="200" w:firstLine="640"/>
        <w:rPr>
          <w:rFonts w:eastAsia="仿宋_GB2312"/>
          <w:szCs w:val="32"/>
        </w:rPr>
      </w:pPr>
      <w:r>
        <w:rPr>
          <w:rFonts w:eastAsia="仿宋_GB2312"/>
          <w:szCs w:val="32"/>
        </w:rPr>
        <w:t>（二）申报单位如为与省政府签约的省外院校在川注册设立的二级机构（在川二级机构下设机构不属于申报单位范围），合作单位必须为省内高校、院所和企事业单位。</w:t>
      </w:r>
    </w:p>
    <w:p w14:paraId="739DBB34" w14:textId="77777777" w:rsidR="00860A77" w:rsidRDefault="00000000">
      <w:pPr>
        <w:spacing w:line="560" w:lineRule="exact"/>
        <w:ind w:firstLineChars="200" w:firstLine="640"/>
        <w:rPr>
          <w:rFonts w:eastAsia="仿宋_GB2312"/>
          <w:szCs w:val="32"/>
        </w:rPr>
      </w:pPr>
      <w:r>
        <w:rPr>
          <w:rFonts w:eastAsia="仿宋_GB2312"/>
          <w:szCs w:val="32"/>
        </w:rPr>
        <w:t>（三）申报单位须有较好的研发基础，运行管理规范，拥有完成研发项目所需的设施、设备条件和资金，无重大事故和不良记录。根据申报项目实施目标任务，保证项目财政预算资金按一定比例（不少于</w:t>
      </w:r>
      <w:r>
        <w:rPr>
          <w:rFonts w:eastAsia="仿宋_GB2312"/>
          <w:szCs w:val="32"/>
        </w:rPr>
        <w:t>30%</w:t>
      </w:r>
      <w:r>
        <w:rPr>
          <w:rFonts w:eastAsia="仿宋_GB2312"/>
          <w:szCs w:val="32"/>
        </w:rPr>
        <w:t>）划拨到联合申报单位。</w:t>
      </w:r>
    </w:p>
    <w:p w14:paraId="0523A9B0" w14:textId="77777777" w:rsidR="00860A77" w:rsidRDefault="00000000">
      <w:pPr>
        <w:spacing w:line="560" w:lineRule="exact"/>
        <w:ind w:firstLineChars="200" w:firstLine="640"/>
        <w:rPr>
          <w:rFonts w:eastAsia="仿宋_GB2312"/>
          <w:szCs w:val="32"/>
        </w:rPr>
      </w:pPr>
      <w:r>
        <w:rPr>
          <w:rFonts w:eastAsia="仿宋_GB2312"/>
          <w:szCs w:val="32"/>
        </w:rPr>
        <w:t>（四）申报单位为企业牵头的，须提供不低于</w:t>
      </w:r>
      <w:r>
        <w:rPr>
          <w:rFonts w:eastAsia="仿宋_GB2312"/>
          <w:szCs w:val="32"/>
        </w:rPr>
        <w:t>1∶1</w:t>
      </w:r>
      <w:r>
        <w:rPr>
          <w:rFonts w:eastAsia="仿宋_GB2312"/>
          <w:szCs w:val="32"/>
        </w:rPr>
        <w:t>的配套资金，并出具配套资金能力支撑材料和配套资金承诺书。所有经费必须设立专账，足额到项目，专款专用。</w:t>
      </w:r>
    </w:p>
    <w:p w14:paraId="443178B7" w14:textId="77777777" w:rsidR="00860A77" w:rsidRDefault="00000000">
      <w:pPr>
        <w:widowControl/>
        <w:spacing w:line="560" w:lineRule="exact"/>
        <w:ind w:firstLineChars="200" w:firstLine="640"/>
        <w:rPr>
          <w:rFonts w:eastAsia="仿宋_GB2312"/>
          <w:szCs w:val="32"/>
        </w:rPr>
      </w:pPr>
      <w:r>
        <w:rPr>
          <w:rFonts w:eastAsia="仿宋_GB2312"/>
          <w:szCs w:val="32"/>
        </w:rPr>
        <w:lastRenderedPageBreak/>
        <w:t>（五）合作双方各须确定</w:t>
      </w:r>
      <w:r>
        <w:rPr>
          <w:rFonts w:eastAsia="仿宋_GB2312"/>
          <w:szCs w:val="32"/>
        </w:rPr>
        <w:t>1</w:t>
      </w:r>
      <w:r>
        <w:rPr>
          <w:rFonts w:eastAsia="仿宋_GB2312"/>
          <w:szCs w:val="32"/>
        </w:rPr>
        <w:t>名项目负责人，且均应具有扎实的研究基础，并从事相关研究工作</w:t>
      </w:r>
      <w:r>
        <w:rPr>
          <w:rFonts w:eastAsia="仿宋_GB2312"/>
          <w:szCs w:val="32"/>
        </w:rPr>
        <w:t>2</w:t>
      </w:r>
      <w:r>
        <w:rPr>
          <w:rFonts w:eastAsia="仿宋_GB2312"/>
          <w:szCs w:val="32"/>
        </w:rPr>
        <w:t>年以上。重点项目合作双方项目负责人应具有高级（包括副高级）专业技术职称或者获得博士学位；面上项目合作双方项目负责人应具有高级（包括副高级）专业技术职称或者获得博士学位，或者获得硕士学位</w:t>
      </w:r>
      <w:r>
        <w:rPr>
          <w:rFonts w:eastAsia="仿宋_GB2312"/>
          <w:szCs w:val="32"/>
        </w:rPr>
        <w:t>4</w:t>
      </w:r>
      <w:r>
        <w:rPr>
          <w:rFonts w:eastAsia="仿宋_GB2312"/>
          <w:szCs w:val="32"/>
        </w:rPr>
        <w:t>年（含）以上。</w:t>
      </w:r>
    </w:p>
    <w:p w14:paraId="38F0CBAA" w14:textId="77777777" w:rsidR="00860A77" w:rsidRDefault="00000000">
      <w:pPr>
        <w:widowControl/>
        <w:spacing w:line="560" w:lineRule="exact"/>
        <w:ind w:firstLineChars="200" w:firstLine="640"/>
        <w:rPr>
          <w:rFonts w:eastAsia="仿宋_GB2312"/>
          <w:szCs w:val="32"/>
        </w:rPr>
      </w:pPr>
      <w:r>
        <w:rPr>
          <w:rFonts w:eastAsia="仿宋_GB2312"/>
          <w:szCs w:val="32"/>
        </w:rPr>
        <w:t>（六）科技合作协议书或项目技术合同、合作单位项目负责人身份证、职称证、博士学位证及其他支撑材料原件扫描后作为附件在四川省科技管理信息系统上传。</w:t>
      </w:r>
    </w:p>
    <w:p w14:paraId="2651EE42" w14:textId="7E55416E" w:rsidR="00860A77" w:rsidRPr="00E01AC3" w:rsidRDefault="00000000" w:rsidP="00E01AC3">
      <w:pPr>
        <w:widowControl/>
        <w:spacing w:line="560" w:lineRule="exact"/>
        <w:ind w:firstLineChars="200" w:firstLine="640"/>
        <w:rPr>
          <w:rFonts w:eastAsia="仿宋_GB2312" w:hint="eastAsia"/>
          <w:szCs w:val="32"/>
        </w:rPr>
      </w:pPr>
      <w:r>
        <w:rPr>
          <w:rFonts w:eastAsia="仿宋_GB2312"/>
          <w:szCs w:val="32"/>
        </w:rPr>
        <w:t>（七）与省政府已签署战略合作协议的高校、院所：省内（四川大学、电子科技大学、西南交通大学、西南财经大学、西南民族大学、中国民用航空飞行学院）；省外（中国科学院、中国工程院、清华大学、中国人民大学、上海交通大学、同济大学、北京外国语大学、哈尔滨工业大学、北京航空航天大学、英国诺丁汉大学、香港城市大学、浙江大学、香港理工大学、澳门大学、天津大学、北京大学、吉林大学、西安交通大学、厦门大学、中国农业大学、重庆大学、西北工业大学、华东师范大学、北京理工大学、哈尔滨工程大学、俄罗斯圣彼得堡国立大学、上海大学、中国科学技术大学。</w:t>
      </w:r>
    </w:p>
    <w:sectPr w:rsidR="00860A77" w:rsidRPr="00E01AC3">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F4E7DA0" w14:textId="77777777" w:rsidR="00C21F4C" w:rsidRDefault="00C21F4C" w:rsidP="00E01AC3">
      <w:r>
        <w:separator/>
      </w:r>
    </w:p>
  </w:endnote>
  <w:endnote w:type="continuationSeparator" w:id="0">
    <w:p w14:paraId="22616B61" w14:textId="77777777" w:rsidR="00C21F4C" w:rsidRDefault="00C21F4C" w:rsidP="00E01A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仿宋_GB2312">
    <w:altName w:val="仿宋"/>
    <w:panose1 w:val="02010609030101010101"/>
    <w:charset w:val="86"/>
    <w:family w:val="modern"/>
    <w:pitch w:val="fixed"/>
    <w:sig w:usb0="00000001" w:usb1="080E0000" w:usb2="00000010" w:usb3="00000000" w:csb0="00040000" w:csb1="00000000"/>
  </w:font>
  <w:font w:name="方正小标宋_GBK">
    <w:altName w:val="微软雅黑"/>
    <w:panose1 w:val="02000000000000000000"/>
    <w:charset w:val="86"/>
    <w:family w:val="auto"/>
    <w:pitch w:val="variable"/>
    <w:sig w:usb0="A00002BF" w:usb1="38CF7CFA" w:usb2="00082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_GB2312">
    <w:altName w:val="楷体"/>
    <w:panose1 w:val="02010609030101010101"/>
    <w:charset w:val="86"/>
    <w:family w:val="modern"/>
    <w:pitch w:val="fixed"/>
    <w:sig w:usb0="00000001" w:usb1="080E0000" w:usb2="0000001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A3EF67E" w14:textId="77777777" w:rsidR="00C21F4C" w:rsidRDefault="00C21F4C" w:rsidP="00E01AC3">
      <w:r>
        <w:separator/>
      </w:r>
    </w:p>
  </w:footnote>
  <w:footnote w:type="continuationSeparator" w:id="0">
    <w:p w14:paraId="0DEA5D28" w14:textId="77777777" w:rsidR="00C21F4C" w:rsidRDefault="00C21F4C" w:rsidP="00E01AC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NGY0N2FiNWFmYjVmZTUzNzQ4OGY1N2QwZGY0ZDkxMGEifQ=="/>
  </w:docVars>
  <w:rsids>
    <w:rsidRoot w:val="682B3CF7"/>
    <w:rsid w:val="00797B0A"/>
    <w:rsid w:val="00860A77"/>
    <w:rsid w:val="00B37913"/>
    <w:rsid w:val="00C21F4C"/>
    <w:rsid w:val="00E01AC3"/>
    <w:rsid w:val="00E7214B"/>
    <w:rsid w:val="682B3CF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884D944"/>
  <w15:docId w15:val="{902E37A0-3F0E-4CBE-81C6-0E820E8974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Body Text" w:unhideWhenUsed="1" w:qFormat="1"/>
    <w:lsdException w:name="Subtitle" w:qFormat="1"/>
    <w:lsdException w:name="Body Text First Indent" w:unhideWhenUsed="1" w:qFormat="1"/>
    <w:lsdException w:name="Strong" w:qFormat="1"/>
    <w:lsdException w:name="Emphasis" w:qFormat="1"/>
    <w:lsdException w:name="Plain Text" w:qFormat="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next w:val="a0"/>
    <w:qFormat/>
    <w:pPr>
      <w:widowControl w:val="0"/>
      <w:jc w:val="both"/>
    </w:pPr>
    <w:rPr>
      <w:rFonts w:ascii="Times New Roman" w:eastAsia="宋体" w:hAnsi="Times New Roman" w:cs="Times New Roman"/>
      <w:kern w:val="2"/>
      <w:sz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Plain Text"/>
    <w:qFormat/>
    <w:pPr>
      <w:widowControl w:val="0"/>
      <w:jc w:val="both"/>
    </w:pPr>
    <w:rPr>
      <w:rFonts w:ascii="宋体" w:eastAsia="宋体" w:hAnsi="Courier New" w:cs="Courier New"/>
      <w:kern w:val="2"/>
      <w:sz w:val="21"/>
      <w:szCs w:val="21"/>
    </w:rPr>
  </w:style>
  <w:style w:type="paragraph" w:styleId="a4">
    <w:name w:val="Body Text"/>
    <w:basedOn w:val="a"/>
    <w:next w:val="Default"/>
    <w:unhideWhenUsed/>
    <w:qFormat/>
    <w:pPr>
      <w:spacing w:after="120"/>
    </w:pPr>
  </w:style>
  <w:style w:type="paragraph" w:customStyle="1" w:styleId="Default">
    <w:name w:val="Default"/>
    <w:basedOn w:val="a"/>
    <w:next w:val="a"/>
    <w:uiPriority w:val="99"/>
    <w:qFormat/>
    <w:pPr>
      <w:autoSpaceDE w:val="0"/>
      <w:autoSpaceDN w:val="0"/>
      <w:adjustRightInd w:val="0"/>
      <w:jc w:val="left"/>
    </w:pPr>
    <w:rPr>
      <w:rFonts w:ascii="仿宋_GB2312" w:eastAsia="仿宋_GB2312" w:hAnsi="Calibri"/>
      <w:color w:val="000000"/>
      <w:kern w:val="0"/>
      <w:sz w:val="24"/>
      <w:szCs w:val="24"/>
    </w:rPr>
  </w:style>
  <w:style w:type="paragraph" w:styleId="a5">
    <w:name w:val="Body Text First Indent"/>
    <w:basedOn w:val="a4"/>
    <w:unhideWhenUsed/>
    <w:qFormat/>
    <w:pPr>
      <w:ind w:firstLineChars="100" w:firstLine="420"/>
    </w:pPr>
  </w:style>
  <w:style w:type="paragraph" w:styleId="a6">
    <w:name w:val="header"/>
    <w:basedOn w:val="a"/>
    <w:link w:val="a7"/>
    <w:rsid w:val="00E01AC3"/>
    <w:pPr>
      <w:tabs>
        <w:tab w:val="center" w:pos="4153"/>
        <w:tab w:val="right" w:pos="8306"/>
      </w:tabs>
      <w:snapToGrid w:val="0"/>
      <w:jc w:val="center"/>
    </w:pPr>
    <w:rPr>
      <w:sz w:val="18"/>
      <w:szCs w:val="18"/>
    </w:rPr>
  </w:style>
  <w:style w:type="character" w:customStyle="1" w:styleId="a7">
    <w:name w:val="页眉 字符"/>
    <w:basedOn w:val="a1"/>
    <w:link w:val="a6"/>
    <w:rsid w:val="00E01AC3"/>
    <w:rPr>
      <w:rFonts w:ascii="Times New Roman" w:eastAsia="宋体" w:hAnsi="Times New Roman" w:cs="Times New Roman"/>
      <w:kern w:val="2"/>
      <w:sz w:val="18"/>
      <w:szCs w:val="18"/>
    </w:rPr>
  </w:style>
  <w:style w:type="paragraph" w:styleId="a8">
    <w:name w:val="footer"/>
    <w:basedOn w:val="a"/>
    <w:link w:val="a9"/>
    <w:rsid w:val="00E01AC3"/>
    <w:pPr>
      <w:tabs>
        <w:tab w:val="center" w:pos="4153"/>
        <w:tab w:val="right" w:pos="8306"/>
      </w:tabs>
      <w:snapToGrid w:val="0"/>
      <w:jc w:val="left"/>
    </w:pPr>
    <w:rPr>
      <w:sz w:val="18"/>
      <w:szCs w:val="18"/>
    </w:rPr>
  </w:style>
  <w:style w:type="character" w:customStyle="1" w:styleId="a9">
    <w:name w:val="页脚 字符"/>
    <w:basedOn w:val="a1"/>
    <w:link w:val="a8"/>
    <w:rsid w:val="00E01AC3"/>
    <w:rPr>
      <w:rFonts w:ascii="Times New Roman" w:eastAsia="宋体" w:hAnsi="Times New Roman" w:cs="Times New Roman"/>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6</Pages>
  <Words>470</Words>
  <Characters>2684</Characters>
  <Application>Microsoft Office Word</Application>
  <DocSecurity>0</DocSecurity>
  <Lines>22</Lines>
  <Paragraphs>6</Paragraphs>
  <ScaleCrop>false</ScaleCrop>
  <Company/>
  <LinksUpToDate>false</LinksUpToDate>
  <CharactersWithSpaces>3148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斩荒</dc:creator>
  <cp:lastModifiedBy>xiaoshengt@126.com</cp:lastModifiedBy>
  <cp:revision>3</cp:revision>
  <cp:lastPrinted>2024-07-05T00:41:00Z</cp:lastPrinted>
  <dcterms:created xsi:type="dcterms:W3CDTF">2023-08-16T07:42:00Z</dcterms:created>
  <dcterms:modified xsi:type="dcterms:W3CDTF">2024-07-05T01:47:00Z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2052-11.1.0.12598</vt:lpwstr>
  </property>
  <property fmtid="{D5CDD505-2E9C-101B-9397-08002B2CF9AE}" pid="3" name="ICV">
    <vt:lpwstr>E07B02CB993A4C96A3C412817FD27F7B</vt:lpwstr>
  </property>
</Properties>
</file>