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31E" w:rsidRPr="007D531E" w:rsidRDefault="007D531E" w:rsidP="007D531E">
      <w:pPr>
        <w:spacing w:line="360" w:lineRule="auto"/>
        <w:jc w:val="left"/>
        <w:rPr>
          <w:rFonts w:ascii="Times New Roman" w:eastAsia="仿宋_GB2312" w:hAnsi="Times New Roman" w:hint="eastAsia"/>
          <w:bCs/>
          <w:sz w:val="28"/>
          <w:szCs w:val="28"/>
        </w:rPr>
      </w:pPr>
      <w:r w:rsidRPr="007D531E">
        <w:rPr>
          <w:rFonts w:ascii="Times New Roman" w:eastAsia="仿宋_GB2312" w:hAnsi="Times New Roman" w:hint="eastAsia"/>
          <w:bCs/>
          <w:sz w:val="28"/>
          <w:szCs w:val="28"/>
        </w:rPr>
        <w:t>附件</w:t>
      </w:r>
      <w:r w:rsidRPr="007D531E">
        <w:rPr>
          <w:rFonts w:ascii="Times New Roman" w:eastAsia="仿宋_GB2312" w:hAnsi="Times New Roman" w:hint="eastAsia"/>
          <w:bCs/>
          <w:sz w:val="28"/>
          <w:szCs w:val="28"/>
        </w:rPr>
        <w:t>2:</w:t>
      </w:r>
    </w:p>
    <w:p w:rsidR="00882214" w:rsidRPr="00882214" w:rsidRDefault="00882214" w:rsidP="00882214">
      <w:pPr>
        <w:spacing w:line="360" w:lineRule="auto"/>
        <w:jc w:val="center"/>
        <w:rPr>
          <w:rFonts w:ascii="黑体" w:eastAsia="黑体" w:hAnsi="黑体"/>
          <w:b/>
          <w:bCs/>
          <w:sz w:val="36"/>
          <w:szCs w:val="36"/>
        </w:rPr>
      </w:pPr>
      <w:r w:rsidRPr="00882214">
        <w:rPr>
          <w:rFonts w:ascii="黑体" w:eastAsia="黑体" w:hAnsi="黑体" w:hint="eastAsia"/>
          <w:b/>
          <w:bCs/>
          <w:sz w:val="36"/>
          <w:szCs w:val="36"/>
        </w:rPr>
        <w:t>重点建设优质课程名称及内容参考</w:t>
      </w:r>
    </w:p>
    <w:p w:rsidR="00882214" w:rsidRDefault="00882214" w:rsidP="002730CC">
      <w:pPr>
        <w:spacing w:line="360" w:lineRule="auto"/>
        <w:ind w:firstLineChars="177" w:firstLine="498"/>
        <w:jc w:val="left"/>
        <w:rPr>
          <w:rFonts w:ascii="Times New Roman" w:eastAsia="仿宋_GB2312" w:hAnsi="Times New Roman"/>
          <w:b/>
          <w:bCs/>
          <w:sz w:val="28"/>
          <w:szCs w:val="28"/>
        </w:rPr>
      </w:pPr>
    </w:p>
    <w:p w:rsidR="002730CC" w:rsidRDefault="002730CC" w:rsidP="002730CC">
      <w:pPr>
        <w:spacing w:line="360" w:lineRule="auto"/>
        <w:ind w:firstLineChars="177" w:firstLine="498"/>
        <w:jc w:val="left"/>
        <w:rPr>
          <w:rFonts w:ascii="Times New Roman" w:eastAsia="仿宋_GB2312" w:hAnsi="Times New Roman"/>
          <w:b/>
          <w:bCs/>
          <w:sz w:val="28"/>
          <w:szCs w:val="28"/>
        </w:rPr>
      </w:pPr>
      <w:r w:rsidRPr="009E6658">
        <w:rPr>
          <w:rFonts w:ascii="Times New Roman" w:eastAsia="仿宋_GB2312" w:hAnsi="Times New Roman"/>
          <w:b/>
          <w:bCs/>
          <w:sz w:val="28"/>
          <w:szCs w:val="28"/>
        </w:rPr>
        <w:t>工程伦理学</w:t>
      </w:r>
    </w:p>
    <w:p w:rsidR="002730CC" w:rsidRDefault="002730CC" w:rsidP="002730CC">
      <w:pPr>
        <w:spacing w:line="360" w:lineRule="auto"/>
        <w:ind w:firstLineChars="200" w:firstLine="560"/>
        <w:jc w:val="left"/>
        <w:rPr>
          <w:rFonts w:ascii="Times New Roman" w:eastAsia="仿宋_GB2312" w:hAnsi="Times New Roman"/>
          <w:bCs/>
          <w:sz w:val="28"/>
          <w:szCs w:val="28"/>
        </w:rPr>
      </w:pPr>
      <w:r w:rsidRPr="00A563FD">
        <w:rPr>
          <w:rFonts w:ascii="Times New Roman" w:eastAsia="仿宋_GB2312" w:hAnsi="Times New Roman" w:hint="eastAsia"/>
          <w:bCs/>
          <w:sz w:val="28"/>
          <w:szCs w:val="28"/>
        </w:rPr>
        <w:t>工程伦理属于应用伦理学领域，是应用于工程实践的道德原则体系，是工程技艺的应用伦理，研究和确定工程师对公众、客户、雇主和职业等应负担的责任，以及考虑这些问题的优先级。作为一个学术的学科，它与科学哲学、工程哲学、科技伦理等学科密切相关。课程主要内容涵盖工程伦理的基本概念，工程师的职业道德，工程师的社会义务，工程师的责任，工程师的技能、能力和服务范围，工程师的安全意识，工程师对雇主和客户的职责，工程师的职业声誉，工程师的职业发展等等。</w:t>
      </w:r>
    </w:p>
    <w:p w:rsidR="002730CC" w:rsidRDefault="002730CC" w:rsidP="002730CC">
      <w:pPr>
        <w:spacing w:line="360" w:lineRule="auto"/>
        <w:ind w:firstLineChars="177" w:firstLine="498"/>
        <w:jc w:val="left"/>
        <w:rPr>
          <w:rFonts w:ascii="Times New Roman" w:eastAsia="仿宋_GB2312" w:hAnsi="Times New Roman"/>
          <w:b/>
          <w:bCs/>
          <w:sz w:val="28"/>
          <w:szCs w:val="28"/>
        </w:rPr>
      </w:pPr>
      <w:r w:rsidRPr="009E6658">
        <w:rPr>
          <w:rFonts w:ascii="Times New Roman" w:eastAsia="仿宋_GB2312" w:hAnsi="Times New Roman"/>
          <w:b/>
          <w:bCs/>
          <w:sz w:val="28"/>
          <w:szCs w:val="28"/>
        </w:rPr>
        <w:t>商业伦理学</w:t>
      </w:r>
    </w:p>
    <w:p w:rsidR="002730CC" w:rsidRPr="00A563FD" w:rsidRDefault="002730CC" w:rsidP="002730CC">
      <w:pPr>
        <w:shd w:val="clear" w:color="auto" w:fill="FFFFFF"/>
        <w:spacing w:line="190" w:lineRule="atLeast"/>
        <w:ind w:firstLineChars="200" w:firstLine="560"/>
        <w:rPr>
          <w:rFonts w:ascii="Times New Roman" w:eastAsia="仿宋_GB2312" w:hAnsi="Times New Roman"/>
          <w:bCs/>
          <w:sz w:val="28"/>
          <w:szCs w:val="28"/>
        </w:rPr>
      </w:pPr>
      <w:r w:rsidRPr="008B53AD">
        <w:rPr>
          <w:rFonts w:ascii="Times New Roman" w:eastAsia="仿宋_GB2312" w:hAnsi="Times New Roman" w:hint="eastAsia"/>
          <w:bCs/>
          <w:sz w:val="28"/>
          <w:szCs w:val="28"/>
        </w:rPr>
        <w:t>商业伦理学是一门边缘性、交叉学科，其主要研究对象是商业活动中人与人之间的伦理关系及其内在规律以确定合理的商业伦理秩序。通过本课程的学习</w:t>
      </w:r>
      <w:r w:rsidRPr="009E6658">
        <w:rPr>
          <w:rFonts w:ascii="Times New Roman" w:eastAsia="仿宋_GB2312" w:hAnsi="Times New Roman"/>
          <w:bCs/>
          <w:sz w:val="28"/>
          <w:szCs w:val="28"/>
        </w:rPr>
        <w:t>帮助学生树立现代经营的伦理意识，提升学生在复杂条件下伦理决策的能力，培养学生的商业伦理素养与思维方式。</w:t>
      </w:r>
    </w:p>
    <w:p w:rsidR="002730CC" w:rsidRDefault="002730CC" w:rsidP="002730CC">
      <w:pPr>
        <w:spacing w:line="360" w:lineRule="auto"/>
        <w:ind w:firstLineChars="177" w:firstLine="498"/>
        <w:jc w:val="left"/>
        <w:rPr>
          <w:rFonts w:ascii="Times New Roman" w:eastAsia="仿宋_GB2312" w:hAnsi="Times New Roman"/>
          <w:b/>
          <w:bCs/>
          <w:sz w:val="28"/>
          <w:szCs w:val="28"/>
        </w:rPr>
      </w:pPr>
      <w:r w:rsidRPr="00EC5E96">
        <w:rPr>
          <w:rFonts w:ascii="Times New Roman" w:eastAsia="仿宋_GB2312" w:hAnsi="Times New Roman" w:hint="eastAsia"/>
          <w:b/>
          <w:bCs/>
          <w:sz w:val="28"/>
          <w:szCs w:val="28"/>
        </w:rPr>
        <w:t>现代城市生态与环境学</w:t>
      </w:r>
    </w:p>
    <w:p w:rsidR="002730CC" w:rsidRDefault="002730CC" w:rsidP="002730CC">
      <w:pPr>
        <w:spacing w:line="360" w:lineRule="auto"/>
        <w:ind w:firstLineChars="200" w:firstLine="560"/>
        <w:jc w:val="left"/>
        <w:rPr>
          <w:rFonts w:ascii="Times New Roman" w:eastAsia="仿宋_GB2312" w:hAnsi="Times New Roman"/>
          <w:bCs/>
          <w:sz w:val="28"/>
          <w:szCs w:val="28"/>
        </w:rPr>
      </w:pPr>
      <w:r w:rsidRPr="00A563FD">
        <w:rPr>
          <w:rFonts w:ascii="Times New Roman" w:eastAsia="仿宋_GB2312" w:hAnsi="Times New Roman" w:hint="eastAsia"/>
          <w:bCs/>
          <w:sz w:val="28"/>
          <w:szCs w:val="28"/>
        </w:rPr>
        <w:t>现代城市生态学是生态学的一个重要分支，城市生态与环境保护问题也是现代城市可持续发展过程中的重要问题。本课程以城市生态系统为主要考察对象，</w:t>
      </w:r>
      <w:r w:rsidRPr="00A6261D">
        <w:rPr>
          <w:rFonts w:ascii="Times New Roman" w:eastAsia="仿宋_GB2312" w:hAnsi="Times New Roman" w:hint="eastAsia"/>
          <w:bCs/>
          <w:sz w:val="28"/>
          <w:szCs w:val="28"/>
        </w:rPr>
        <w:t>系统论述现代城市生态与环境科学</w:t>
      </w:r>
      <w:r>
        <w:rPr>
          <w:rFonts w:ascii="Times New Roman" w:eastAsia="仿宋_GB2312" w:hAnsi="Times New Roman" w:hint="eastAsia"/>
          <w:bCs/>
          <w:sz w:val="28"/>
          <w:szCs w:val="28"/>
        </w:rPr>
        <w:t>发展的历程与内涵，城市生态系统的</w:t>
      </w:r>
      <w:r w:rsidRPr="00A563FD">
        <w:rPr>
          <w:rFonts w:ascii="Times New Roman" w:eastAsia="仿宋_GB2312" w:hAnsi="Times New Roman" w:hint="eastAsia"/>
          <w:bCs/>
          <w:sz w:val="28"/>
          <w:szCs w:val="28"/>
        </w:rPr>
        <w:t>概念、</w:t>
      </w:r>
      <w:r>
        <w:rPr>
          <w:rFonts w:ascii="Times New Roman" w:eastAsia="仿宋_GB2312" w:hAnsi="Times New Roman" w:hint="eastAsia"/>
          <w:bCs/>
          <w:sz w:val="28"/>
          <w:szCs w:val="28"/>
        </w:rPr>
        <w:t>特点、组成、结构与功能，</w:t>
      </w:r>
      <w:r w:rsidRPr="00A563FD">
        <w:rPr>
          <w:rFonts w:ascii="Times New Roman" w:eastAsia="仿宋_GB2312" w:hAnsi="Times New Roman" w:hint="eastAsia"/>
          <w:bCs/>
          <w:sz w:val="28"/>
          <w:szCs w:val="28"/>
        </w:rPr>
        <w:t>城市生态</w:t>
      </w:r>
      <w:r w:rsidRPr="00A563FD">
        <w:rPr>
          <w:rFonts w:ascii="Times New Roman" w:eastAsia="仿宋_GB2312" w:hAnsi="Times New Roman" w:hint="eastAsia"/>
          <w:bCs/>
          <w:sz w:val="28"/>
          <w:szCs w:val="28"/>
        </w:rPr>
        <w:lastRenderedPageBreak/>
        <w:t>系统的最新研究进展与方法，城市生态与环境学的理论和方法在生态城市建设实践中的应用，城市可持续发展与城市生态与环境之间的关系等内容，</w:t>
      </w:r>
      <w:r>
        <w:rPr>
          <w:rFonts w:ascii="Times New Roman" w:eastAsia="仿宋_GB2312" w:hAnsi="Times New Roman" w:hint="eastAsia"/>
          <w:bCs/>
          <w:sz w:val="28"/>
          <w:szCs w:val="28"/>
        </w:rPr>
        <w:t>揭示社会经济发展和环境保护协调发展的基本规律。</w:t>
      </w:r>
    </w:p>
    <w:p w:rsidR="002730CC" w:rsidRDefault="002730CC" w:rsidP="002730CC">
      <w:pPr>
        <w:spacing w:line="360" w:lineRule="auto"/>
        <w:ind w:firstLineChars="177" w:firstLine="498"/>
        <w:jc w:val="left"/>
        <w:rPr>
          <w:rFonts w:ascii="Times New Roman" w:eastAsia="仿宋_GB2312" w:hAnsi="Times New Roman"/>
          <w:b/>
          <w:bCs/>
          <w:sz w:val="28"/>
          <w:szCs w:val="28"/>
        </w:rPr>
      </w:pPr>
      <w:r w:rsidRPr="00EC5E96">
        <w:rPr>
          <w:rFonts w:ascii="Times New Roman" w:eastAsia="仿宋_GB2312" w:hAnsi="Times New Roman" w:hint="eastAsia"/>
          <w:b/>
          <w:bCs/>
          <w:sz w:val="28"/>
          <w:szCs w:val="28"/>
        </w:rPr>
        <w:t>艺术美学</w:t>
      </w:r>
    </w:p>
    <w:p w:rsidR="002730CC" w:rsidRDefault="002730CC" w:rsidP="002730CC">
      <w:pPr>
        <w:spacing w:line="360" w:lineRule="auto"/>
        <w:ind w:firstLineChars="227" w:firstLine="636"/>
        <w:jc w:val="left"/>
        <w:rPr>
          <w:rFonts w:ascii="Times New Roman" w:eastAsia="仿宋_GB2312" w:hAnsi="Times New Roman"/>
          <w:bCs/>
          <w:sz w:val="28"/>
          <w:szCs w:val="28"/>
        </w:rPr>
      </w:pPr>
      <w:r>
        <w:rPr>
          <w:rFonts w:ascii="Times New Roman" w:eastAsia="仿宋_GB2312" w:hAnsi="Times New Roman" w:hint="eastAsia"/>
          <w:bCs/>
          <w:sz w:val="28"/>
          <w:szCs w:val="28"/>
        </w:rPr>
        <w:t>围绕艺术与美学的关系，注重学生的艺术体验与美学修养，</w:t>
      </w:r>
      <w:r w:rsidRPr="00A563FD">
        <w:rPr>
          <w:rFonts w:ascii="Times New Roman" w:eastAsia="仿宋_GB2312" w:hAnsi="Times New Roman" w:hint="eastAsia"/>
          <w:bCs/>
          <w:sz w:val="28"/>
          <w:szCs w:val="28"/>
        </w:rPr>
        <w:t>激发学生艺术直观能力，培养学生艺术美的鉴赏能力。让学生领悟艺术美，并掌握理解艺术品的基本方法。</w:t>
      </w:r>
    </w:p>
    <w:p w:rsidR="002730CC" w:rsidRDefault="002730CC" w:rsidP="002730CC">
      <w:pPr>
        <w:spacing w:line="360" w:lineRule="auto"/>
        <w:ind w:firstLineChars="177" w:firstLine="498"/>
        <w:jc w:val="left"/>
        <w:rPr>
          <w:rFonts w:ascii="Times New Roman" w:eastAsia="仿宋_GB2312" w:hAnsi="Times New Roman"/>
          <w:b/>
          <w:bCs/>
          <w:sz w:val="28"/>
          <w:szCs w:val="28"/>
        </w:rPr>
      </w:pPr>
      <w:r w:rsidRPr="009E6658">
        <w:rPr>
          <w:rFonts w:ascii="Times New Roman" w:eastAsia="仿宋_GB2312" w:hAnsi="Times New Roman"/>
          <w:b/>
          <w:bCs/>
          <w:sz w:val="28"/>
          <w:szCs w:val="28"/>
        </w:rPr>
        <w:t>科学技术史</w:t>
      </w:r>
    </w:p>
    <w:p w:rsidR="002730CC" w:rsidRDefault="002730CC" w:rsidP="002730CC">
      <w:pPr>
        <w:spacing w:line="360" w:lineRule="auto"/>
        <w:ind w:firstLineChars="177" w:firstLine="496"/>
        <w:jc w:val="left"/>
        <w:rPr>
          <w:rFonts w:ascii="Times New Roman" w:eastAsia="仿宋_GB2312" w:hAnsi="Times New Roman"/>
          <w:bCs/>
          <w:sz w:val="28"/>
          <w:szCs w:val="28"/>
        </w:rPr>
      </w:pPr>
      <w:r w:rsidRPr="009E6658">
        <w:rPr>
          <w:rFonts w:ascii="Times New Roman" w:eastAsia="仿宋_GB2312" w:hAnsi="Times New Roman"/>
          <w:bCs/>
          <w:sz w:val="28"/>
          <w:szCs w:val="28"/>
        </w:rPr>
        <w:t>介绍古今中外科学技术的产生与发展</w:t>
      </w:r>
      <w:r>
        <w:rPr>
          <w:rFonts w:ascii="Times New Roman" w:eastAsia="仿宋_GB2312" w:hAnsi="Times New Roman" w:hint="eastAsia"/>
          <w:bCs/>
          <w:sz w:val="28"/>
          <w:szCs w:val="28"/>
        </w:rPr>
        <w:t>、</w:t>
      </w:r>
      <w:r w:rsidRPr="00A563FD">
        <w:rPr>
          <w:rFonts w:ascii="Times New Roman" w:eastAsia="仿宋_GB2312" w:hAnsi="Times New Roman" w:hint="eastAsia"/>
          <w:bCs/>
          <w:sz w:val="28"/>
          <w:szCs w:val="28"/>
        </w:rPr>
        <w:t>科学技术发展的内在规律、科学技术对社会文明进步的促进。探讨社会历史环境对科学技术发展的影响、近代科学技术无法在中国发展的原因以及科学技术的未来发展走向等，</w:t>
      </w:r>
      <w:r w:rsidRPr="009E6658">
        <w:rPr>
          <w:rFonts w:ascii="Times New Roman" w:eastAsia="仿宋_GB2312" w:hAnsi="Times New Roman"/>
          <w:bCs/>
          <w:sz w:val="28"/>
          <w:szCs w:val="28"/>
        </w:rPr>
        <w:t>提升学生的科学文化素养。</w:t>
      </w:r>
    </w:p>
    <w:p w:rsidR="002730CC" w:rsidRDefault="002730CC" w:rsidP="002730CC">
      <w:pPr>
        <w:spacing w:line="360" w:lineRule="auto"/>
        <w:ind w:firstLineChars="177" w:firstLine="498"/>
        <w:jc w:val="left"/>
        <w:rPr>
          <w:rFonts w:ascii="Times New Roman" w:eastAsia="仿宋_GB2312" w:hAnsi="Times New Roman"/>
          <w:b/>
          <w:bCs/>
          <w:sz w:val="28"/>
          <w:szCs w:val="28"/>
        </w:rPr>
      </w:pPr>
      <w:r w:rsidRPr="0083447A">
        <w:rPr>
          <w:rFonts w:ascii="Times New Roman" w:eastAsia="仿宋_GB2312" w:hAnsi="Times New Roman" w:hint="eastAsia"/>
          <w:b/>
          <w:bCs/>
          <w:sz w:val="28"/>
          <w:szCs w:val="28"/>
        </w:rPr>
        <w:t>信息经济学与生活</w:t>
      </w:r>
    </w:p>
    <w:p w:rsidR="002730CC" w:rsidRDefault="002730CC" w:rsidP="002730CC">
      <w:pPr>
        <w:spacing w:line="360" w:lineRule="auto"/>
        <w:ind w:firstLineChars="177" w:firstLine="496"/>
        <w:jc w:val="left"/>
        <w:rPr>
          <w:rFonts w:ascii="Times New Roman" w:eastAsia="仿宋_GB2312" w:hAnsi="Times New Roman"/>
          <w:bCs/>
          <w:sz w:val="28"/>
          <w:szCs w:val="28"/>
        </w:rPr>
      </w:pPr>
      <w:r w:rsidRPr="00F62D7C">
        <w:rPr>
          <w:rFonts w:ascii="Times New Roman" w:eastAsia="仿宋_GB2312" w:hAnsi="Times New Roman" w:hint="eastAsia"/>
          <w:bCs/>
          <w:sz w:val="28"/>
          <w:szCs w:val="28"/>
        </w:rPr>
        <w:t>从信息经济学的角度出发，通过对日常生活中常见事例的剖析，</w:t>
      </w:r>
      <w:r>
        <w:rPr>
          <w:rFonts w:ascii="Times New Roman" w:eastAsia="仿宋_GB2312" w:hAnsi="Times New Roman" w:hint="eastAsia"/>
          <w:bCs/>
          <w:sz w:val="28"/>
          <w:szCs w:val="28"/>
        </w:rPr>
        <w:t>使非经济学专业的学生</w:t>
      </w:r>
      <w:r w:rsidRPr="00F62D7C">
        <w:rPr>
          <w:rFonts w:ascii="Times New Roman" w:eastAsia="仿宋_GB2312" w:hAnsi="Times New Roman" w:hint="eastAsia"/>
          <w:bCs/>
          <w:sz w:val="28"/>
          <w:szCs w:val="28"/>
        </w:rPr>
        <w:t>尝试像经济学家那样思考问题，</w:t>
      </w:r>
      <w:r>
        <w:rPr>
          <w:rFonts w:ascii="Times New Roman" w:eastAsia="仿宋_GB2312" w:hAnsi="Times New Roman" w:hint="eastAsia"/>
          <w:bCs/>
          <w:sz w:val="28"/>
          <w:szCs w:val="28"/>
        </w:rPr>
        <w:t>同时使学生</w:t>
      </w:r>
      <w:r w:rsidRPr="00F62D7C">
        <w:rPr>
          <w:rFonts w:ascii="Times New Roman" w:eastAsia="仿宋_GB2312" w:hAnsi="Times New Roman" w:hint="eastAsia"/>
          <w:bCs/>
          <w:sz w:val="28"/>
          <w:szCs w:val="28"/>
        </w:rPr>
        <w:t>适应飞速发展的信息化社会</w:t>
      </w:r>
      <w:r>
        <w:rPr>
          <w:rFonts w:ascii="Times New Roman" w:eastAsia="仿宋_GB2312" w:hAnsi="Times New Roman" w:hint="eastAsia"/>
          <w:bCs/>
          <w:sz w:val="28"/>
          <w:szCs w:val="28"/>
        </w:rPr>
        <w:t>，解决学习和生活中遇到的问题</w:t>
      </w:r>
      <w:r w:rsidRPr="00F62D7C">
        <w:rPr>
          <w:rFonts w:ascii="Times New Roman" w:eastAsia="仿宋_GB2312" w:hAnsi="Times New Roman" w:hint="eastAsia"/>
          <w:bCs/>
          <w:sz w:val="28"/>
          <w:szCs w:val="28"/>
        </w:rPr>
        <w:t>。</w:t>
      </w:r>
    </w:p>
    <w:p w:rsidR="002730CC" w:rsidRDefault="002730CC" w:rsidP="002730CC">
      <w:pPr>
        <w:spacing w:line="360" w:lineRule="auto"/>
        <w:ind w:firstLineChars="177" w:firstLine="498"/>
        <w:jc w:val="left"/>
        <w:rPr>
          <w:rFonts w:ascii="Times New Roman" w:eastAsia="仿宋_GB2312" w:hAnsi="Times New Roman"/>
          <w:b/>
          <w:bCs/>
          <w:sz w:val="28"/>
          <w:szCs w:val="28"/>
        </w:rPr>
      </w:pPr>
      <w:r w:rsidRPr="009E6658">
        <w:rPr>
          <w:rFonts w:ascii="Times New Roman" w:eastAsia="仿宋_GB2312" w:hAnsi="Times New Roman"/>
          <w:b/>
          <w:bCs/>
          <w:sz w:val="28"/>
          <w:szCs w:val="28"/>
        </w:rPr>
        <w:t>团队与沟通</w:t>
      </w:r>
    </w:p>
    <w:p w:rsidR="002730CC" w:rsidRDefault="002730CC" w:rsidP="002730CC">
      <w:pPr>
        <w:spacing w:line="360" w:lineRule="auto"/>
        <w:ind w:firstLineChars="177" w:firstLine="496"/>
        <w:jc w:val="left"/>
        <w:rPr>
          <w:rFonts w:ascii="Times New Roman" w:eastAsia="仿宋_GB2312" w:hAnsi="Times New Roman"/>
          <w:bCs/>
          <w:sz w:val="28"/>
          <w:szCs w:val="28"/>
        </w:rPr>
      </w:pPr>
      <w:r w:rsidRPr="00E178DD">
        <w:rPr>
          <w:rFonts w:ascii="Times New Roman" w:eastAsia="仿宋_GB2312" w:hAnsi="Times New Roman" w:hint="eastAsia"/>
          <w:bCs/>
          <w:sz w:val="28"/>
          <w:szCs w:val="28"/>
        </w:rPr>
        <w:t>对大学生学习及生活中面临的人际沟通及团队认同等方面存在的问题及客观需求，阐述沟通与团队的基本理论，分析导致沟通障碍及团队认同等问题的主要原因，并在结合案例的基础上，探讨通过自我认知、有效倾听等路径进行有效沟通、建立团队认同的基本技巧。</w:t>
      </w:r>
    </w:p>
    <w:p w:rsidR="002730CC" w:rsidRDefault="002730CC" w:rsidP="002730CC">
      <w:pPr>
        <w:spacing w:line="360" w:lineRule="auto"/>
        <w:ind w:firstLineChars="200" w:firstLine="562"/>
        <w:jc w:val="left"/>
        <w:rPr>
          <w:rFonts w:ascii="Times New Roman" w:eastAsia="仿宋_GB2312" w:hAnsi="Times New Roman"/>
          <w:b/>
          <w:bCs/>
          <w:sz w:val="28"/>
          <w:szCs w:val="28"/>
        </w:rPr>
      </w:pPr>
      <w:r w:rsidRPr="007C5186">
        <w:rPr>
          <w:rFonts w:ascii="Times New Roman" w:eastAsia="仿宋_GB2312" w:hAnsi="Times New Roman" w:hint="eastAsia"/>
          <w:b/>
          <w:bCs/>
          <w:sz w:val="28"/>
          <w:szCs w:val="28"/>
        </w:rPr>
        <w:t>时间与情绪</w:t>
      </w:r>
      <w:r w:rsidRPr="00A9069D">
        <w:rPr>
          <w:rFonts w:ascii="Times New Roman" w:eastAsia="仿宋_GB2312" w:hAnsi="Times New Roman" w:hint="eastAsia"/>
          <w:b/>
          <w:bCs/>
          <w:sz w:val="28"/>
          <w:szCs w:val="28"/>
        </w:rPr>
        <w:t>管理</w:t>
      </w:r>
    </w:p>
    <w:p w:rsidR="002730CC" w:rsidRDefault="002730CC" w:rsidP="002730CC">
      <w:pPr>
        <w:pStyle w:val="HTML"/>
        <w:shd w:val="clear" w:color="auto" w:fill="FFFFFF"/>
        <w:spacing w:line="360" w:lineRule="auto"/>
        <w:ind w:firstLineChars="200" w:firstLine="560"/>
        <w:rPr>
          <w:rFonts w:ascii="Times New Roman" w:eastAsia="仿宋_GB2312" w:hAnsi="Times New Roman" w:cs="Times New Roman"/>
          <w:bCs/>
          <w:kern w:val="2"/>
          <w:sz w:val="28"/>
          <w:szCs w:val="28"/>
        </w:rPr>
      </w:pPr>
      <w:r w:rsidRPr="00D61DCD">
        <w:rPr>
          <w:rFonts w:ascii="Times New Roman" w:eastAsia="仿宋_GB2312" w:hAnsi="Times New Roman" w:cs="Times New Roman" w:hint="eastAsia"/>
          <w:bCs/>
          <w:kern w:val="2"/>
          <w:sz w:val="28"/>
          <w:szCs w:val="28"/>
        </w:rPr>
        <w:lastRenderedPageBreak/>
        <w:t>带领学生认识时间心理学和情绪心理学的相关知识和理论，了解各种时间观和负面情绪以及压力的产生和症状，探讨应该怎样控制我们的时间感，怎样有效地增加我们生命的长度，并提高生活的质量，掌握各种化解、排除压力的技巧和方法，</w:t>
      </w:r>
      <w:r>
        <w:rPr>
          <w:rFonts w:ascii="Times New Roman" w:eastAsia="仿宋_GB2312" w:hAnsi="Times New Roman" w:cs="Times New Roman" w:hint="eastAsia"/>
          <w:bCs/>
          <w:kern w:val="2"/>
          <w:sz w:val="28"/>
          <w:szCs w:val="28"/>
        </w:rPr>
        <w:t>帮助大学生尽快适应大学生活，做好时间和情绪的管理，为大学的学习与生活做好准备。</w:t>
      </w:r>
    </w:p>
    <w:p w:rsidR="002730CC" w:rsidRDefault="002730CC" w:rsidP="002730CC">
      <w:pPr>
        <w:spacing w:line="360" w:lineRule="auto"/>
        <w:ind w:firstLineChars="177" w:firstLine="498"/>
        <w:jc w:val="left"/>
        <w:rPr>
          <w:rFonts w:ascii="Times New Roman" w:eastAsia="仿宋_GB2312" w:hAnsi="Times New Roman"/>
          <w:b/>
          <w:bCs/>
          <w:sz w:val="28"/>
          <w:szCs w:val="28"/>
        </w:rPr>
      </w:pPr>
      <w:r w:rsidRPr="009E6658">
        <w:rPr>
          <w:rFonts w:ascii="Times New Roman" w:eastAsia="仿宋_GB2312" w:hAnsi="Times New Roman"/>
          <w:b/>
          <w:bCs/>
          <w:sz w:val="28"/>
          <w:szCs w:val="28"/>
        </w:rPr>
        <w:t>学术道德与学术规范</w:t>
      </w:r>
    </w:p>
    <w:p w:rsidR="002730CC" w:rsidRDefault="002730CC" w:rsidP="002730CC">
      <w:pPr>
        <w:spacing w:line="360" w:lineRule="auto"/>
        <w:ind w:firstLineChars="177" w:firstLine="496"/>
        <w:jc w:val="left"/>
        <w:rPr>
          <w:rFonts w:ascii="Times New Roman" w:eastAsia="仿宋_GB2312" w:hAnsi="Times New Roman"/>
          <w:bCs/>
          <w:sz w:val="28"/>
          <w:szCs w:val="28"/>
        </w:rPr>
      </w:pPr>
      <w:r w:rsidRPr="009E6658">
        <w:rPr>
          <w:rFonts w:ascii="Times New Roman" w:eastAsia="仿宋_GB2312" w:hAnsi="Times New Roman"/>
          <w:bCs/>
          <w:sz w:val="28"/>
          <w:szCs w:val="28"/>
        </w:rPr>
        <w:t>针对学生从事科学研究、论文写作以及成果发表</w:t>
      </w:r>
      <w:r w:rsidRPr="00713523">
        <w:rPr>
          <w:rFonts w:ascii="Times New Roman" w:eastAsia="仿宋_GB2312" w:hAnsi="Times New Roman" w:hint="eastAsia"/>
          <w:bCs/>
          <w:sz w:val="28"/>
          <w:szCs w:val="28"/>
        </w:rPr>
        <w:t>等学术活动，</w:t>
      </w:r>
      <w:r w:rsidRPr="00A563FD">
        <w:rPr>
          <w:rFonts w:ascii="Times New Roman" w:eastAsia="仿宋_GB2312" w:hAnsi="Times New Roman" w:hint="eastAsia"/>
          <w:bCs/>
          <w:sz w:val="28"/>
          <w:szCs w:val="28"/>
        </w:rPr>
        <w:t>介绍从事学术活动应当遵循的学术道德和学术规范、关于学术道德和学术规范的法律规定与政策、对学术不端行为的界定等内容，培养学生良好的学术道德意识，引导学生在进行科学研究、论文写作、成果发表等活动中自觉遵守学术规范。</w:t>
      </w:r>
    </w:p>
    <w:p w:rsidR="002730CC" w:rsidRDefault="002730CC" w:rsidP="002730CC">
      <w:pPr>
        <w:spacing w:line="360" w:lineRule="auto"/>
        <w:ind w:firstLineChars="177" w:firstLine="498"/>
        <w:jc w:val="left"/>
        <w:rPr>
          <w:rFonts w:ascii="Times New Roman" w:eastAsia="仿宋_GB2312" w:hAnsi="Times New Roman"/>
          <w:b/>
          <w:bCs/>
          <w:sz w:val="28"/>
          <w:szCs w:val="28"/>
        </w:rPr>
      </w:pPr>
      <w:r w:rsidRPr="009E6658">
        <w:rPr>
          <w:rFonts w:ascii="Times New Roman" w:eastAsia="仿宋_GB2312" w:hAnsi="Times New Roman"/>
          <w:b/>
          <w:bCs/>
          <w:sz w:val="28"/>
          <w:szCs w:val="28"/>
        </w:rPr>
        <w:t>批判性思维</w:t>
      </w:r>
    </w:p>
    <w:p w:rsidR="002730CC" w:rsidRDefault="002730CC" w:rsidP="002730CC">
      <w:pPr>
        <w:spacing w:line="360" w:lineRule="auto"/>
        <w:ind w:firstLineChars="177" w:firstLine="496"/>
        <w:jc w:val="left"/>
        <w:rPr>
          <w:rFonts w:ascii="Times New Roman" w:eastAsia="仿宋_GB2312" w:hAnsi="Times New Roman"/>
          <w:bCs/>
          <w:sz w:val="28"/>
          <w:szCs w:val="28"/>
        </w:rPr>
      </w:pPr>
      <w:r w:rsidRPr="009E6658">
        <w:rPr>
          <w:rFonts w:ascii="Times New Roman" w:eastAsia="仿宋_GB2312" w:hAnsi="Times New Roman"/>
          <w:bCs/>
          <w:sz w:val="28"/>
          <w:szCs w:val="28"/>
        </w:rPr>
        <w:t>引导学生跨越学科界限，进行多维思考，</w:t>
      </w:r>
      <w:r>
        <w:rPr>
          <w:rFonts w:ascii="Times New Roman" w:eastAsia="仿宋_GB2312" w:hAnsi="Times New Roman" w:hint="eastAsia"/>
          <w:bCs/>
          <w:sz w:val="28"/>
          <w:szCs w:val="28"/>
        </w:rPr>
        <w:t>为学生组织反思性提问、批判性质疑和建设性思辨提供方法论和基础训练。批判性思维的培养来自对人文传统的承继和对现实实事的考察，在书面与口头两个方面提升学生的表达能力。同时，确立独立思考时，在深度与广度两个向度上渐进积累、印证的自评标准。此外，还要强调组织团队协同探索及依靠团队增进多元观点认识的综合能力。</w:t>
      </w:r>
    </w:p>
    <w:p w:rsidR="00320690" w:rsidRPr="002730CC" w:rsidRDefault="00320690"/>
    <w:sectPr w:rsidR="00320690" w:rsidRPr="002730CC" w:rsidSect="0032069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730CC"/>
    <w:rsid w:val="002730CC"/>
    <w:rsid w:val="00320690"/>
    <w:rsid w:val="00746E5D"/>
    <w:rsid w:val="007D531E"/>
    <w:rsid w:val="00882214"/>
    <w:rsid w:val="00EB42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0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unhideWhenUsed/>
    <w:rsid w:val="002730C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730CC"/>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219</Words>
  <Characters>1252</Characters>
  <Application>Microsoft Office Word</Application>
  <DocSecurity>0</DocSecurity>
  <Lines>10</Lines>
  <Paragraphs>2</Paragraphs>
  <ScaleCrop>false</ScaleCrop>
  <Company>Lenovo</Company>
  <LinksUpToDate>false</LinksUpToDate>
  <CharactersWithSpaces>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2017-10-17T03:46:00Z</dcterms:created>
  <dcterms:modified xsi:type="dcterms:W3CDTF">2017-10-17T06:20:00Z</dcterms:modified>
</cp:coreProperties>
</file>